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795D4B" w:rsidRPr="00795D4B" w14:paraId="45B1B24A" w14:textId="77777777" w:rsidTr="009A785D">
        <w:trPr>
          <w:trHeight w:val="1117"/>
        </w:trPr>
        <w:tc>
          <w:tcPr>
            <w:tcW w:w="3686" w:type="dxa"/>
            <w:shd w:val="clear" w:color="auto" w:fill="auto"/>
          </w:tcPr>
          <w:p w14:paraId="69627FC5" w14:textId="77777777" w:rsidR="00795D4B" w:rsidRPr="00795D4B" w:rsidRDefault="00795D4B" w:rsidP="00795D4B">
            <w:pPr>
              <w:spacing w:line="200" w:lineRule="exact"/>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Chubb Seguros Perú S.A</w:t>
            </w:r>
          </w:p>
          <w:p w14:paraId="02CCA148" w14:textId="77777777" w:rsidR="00795D4B" w:rsidRPr="00795D4B" w:rsidRDefault="00795D4B" w:rsidP="00795D4B">
            <w:pPr>
              <w:spacing w:line="200" w:lineRule="exact"/>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Calle Amador Merino Reyna 267, Of.402</w:t>
            </w:r>
          </w:p>
          <w:p w14:paraId="7F53EC2B" w14:textId="77777777" w:rsidR="00795D4B" w:rsidRPr="00795D4B" w:rsidRDefault="00795D4B" w:rsidP="00795D4B">
            <w:pPr>
              <w:spacing w:line="200" w:lineRule="exact"/>
              <w:rPr>
                <w:rFonts w:ascii="Georgia" w:eastAsia="Georgia" w:hAnsi="Georgia" w:cs="Times New Roman"/>
                <w:noProof/>
                <w:spacing w:val="8"/>
                <w:sz w:val="16"/>
                <w:szCs w:val="16"/>
                <w:lang w:val="de-CH"/>
              </w:rPr>
            </w:pPr>
            <w:r w:rsidRPr="00795D4B">
              <w:rPr>
                <w:rFonts w:ascii="Georgia" w:eastAsia="Georgia" w:hAnsi="Georgia" w:cs="Times New Roman"/>
                <w:noProof/>
                <w:spacing w:val="8"/>
                <w:sz w:val="16"/>
                <w:szCs w:val="16"/>
                <w:lang w:val="de-CH"/>
              </w:rPr>
              <w:t>San Isidro – Lima 27</w:t>
            </w:r>
            <w:r w:rsidRPr="00795D4B">
              <w:rPr>
                <w:rFonts w:ascii="Georgia" w:eastAsia="Georgia" w:hAnsi="Georgia" w:cs="Times New Roman"/>
                <w:noProof/>
                <w:spacing w:val="8"/>
                <w:sz w:val="16"/>
                <w:szCs w:val="16"/>
                <w:lang w:val="de-CH"/>
              </w:rPr>
              <w:br/>
              <w:t>Perú</w:t>
            </w:r>
          </w:p>
        </w:tc>
        <w:tc>
          <w:tcPr>
            <w:tcW w:w="1985" w:type="dxa"/>
            <w:shd w:val="clear" w:color="auto" w:fill="auto"/>
          </w:tcPr>
          <w:p w14:paraId="5198237C" w14:textId="77777777" w:rsidR="00795D4B" w:rsidRPr="00795D4B" w:rsidRDefault="00795D4B" w:rsidP="00795D4B">
            <w:pPr>
              <w:spacing w:line="200" w:lineRule="exact"/>
              <w:ind w:left="142"/>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O  (511) 417-5000</w:t>
            </w:r>
          </w:p>
          <w:p w14:paraId="5496322C" w14:textId="77777777" w:rsidR="00795D4B" w:rsidRPr="00795D4B" w:rsidRDefault="00795D4B" w:rsidP="00795D4B">
            <w:pPr>
              <w:spacing w:line="200" w:lineRule="exact"/>
              <w:ind w:left="142"/>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F   (511) 221-3313</w:t>
            </w:r>
          </w:p>
          <w:p w14:paraId="210FB1EE" w14:textId="77777777" w:rsidR="00795D4B" w:rsidRPr="00795D4B" w:rsidRDefault="00795D4B" w:rsidP="00795D4B">
            <w:pPr>
              <w:spacing w:line="200" w:lineRule="exact"/>
              <w:ind w:left="142"/>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www.chubb.com/pe</w:t>
            </w:r>
          </w:p>
          <w:p w14:paraId="7229B92C" w14:textId="77777777" w:rsidR="00795D4B" w:rsidRPr="00795D4B" w:rsidRDefault="00795D4B" w:rsidP="00795D4B">
            <w:pPr>
              <w:spacing w:line="200" w:lineRule="exact"/>
              <w:rPr>
                <w:rFonts w:ascii="Georgia" w:eastAsia="Georgia" w:hAnsi="Georgia" w:cs="Times New Roman"/>
                <w:noProof/>
                <w:spacing w:val="8"/>
                <w:sz w:val="16"/>
                <w:szCs w:val="16"/>
              </w:rPr>
            </w:pPr>
          </w:p>
        </w:tc>
      </w:tr>
    </w:tbl>
    <w:p w14:paraId="4D118A89" w14:textId="77777777" w:rsidR="00795D4B" w:rsidRDefault="00795D4B" w:rsidP="00795D4B">
      <w:pPr>
        <w:spacing w:line="228" w:lineRule="auto"/>
        <w:ind w:right="141"/>
        <w:rPr>
          <w:rFonts w:ascii="Georgia" w:eastAsia="Times New Roman" w:hAnsi="Georgia" w:cs="Arial"/>
          <w:b/>
          <w:szCs w:val="20"/>
          <w:lang w:val="es-ES_tradnl" w:eastAsia="es-ES"/>
        </w:rPr>
      </w:pPr>
      <w:r>
        <w:rPr>
          <w:rFonts w:ascii="Georgia" w:hAnsi="Georgia" w:cs="Arial"/>
          <w:b/>
          <w:bCs/>
          <w:noProof/>
          <w:sz w:val="26"/>
          <w:szCs w:val="26"/>
          <w:lang w:eastAsia="es-PE"/>
        </w:rPr>
        <w:drawing>
          <wp:anchor distT="0" distB="0" distL="114300" distR="114300" simplePos="0" relativeHeight="251659264" behindDoc="0" locked="0" layoutInCell="1" allowOverlap="1" wp14:anchorId="3CE1D51E" wp14:editId="3EB9C7C0">
            <wp:simplePos x="0" y="0"/>
            <wp:positionH relativeFrom="column">
              <wp:posOffset>36195</wp:posOffset>
            </wp:positionH>
            <wp:positionV relativeFrom="paragraph">
              <wp:posOffset>-822960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C98D0" w14:textId="77777777" w:rsidR="00795D4B" w:rsidRPr="00795D4B" w:rsidRDefault="003872C2" w:rsidP="00795D4B">
      <w:pPr>
        <w:spacing w:line="228" w:lineRule="auto"/>
        <w:ind w:right="141"/>
        <w:rPr>
          <w:rFonts w:ascii="Georgia" w:eastAsia="Times New Roman" w:hAnsi="Georgia" w:cs="Arial"/>
          <w:b/>
          <w:sz w:val="26"/>
          <w:szCs w:val="26"/>
          <w:lang w:val="es-ES_tradnl" w:eastAsia="es-ES"/>
        </w:rPr>
      </w:pPr>
      <w:r>
        <w:rPr>
          <w:rFonts w:ascii="Georgia" w:eastAsia="Times New Roman" w:hAnsi="Georgia" w:cs="Arial"/>
          <w:b/>
          <w:sz w:val="26"/>
          <w:szCs w:val="26"/>
          <w:lang w:val="es-ES_tradnl" w:eastAsia="es-ES"/>
        </w:rPr>
        <w:t>Indemnización por Cáncer</w:t>
      </w:r>
    </w:p>
    <w:p w14:paraId="597F44BE" w14:textId="77777777" w:rsidR="00795D4B" w:rsidRDefault="00795D4B" w:rsidP="00795D4B">
      <w:pPr>
        <w:spacing w:line="228" w:lineRule="auto"/>
        <w:ind w:right="141"/>
        <w:rPr>
          <w:rFonts w:ascii="Georgia" w:eastAsia="Times New Roman" w:hAnsi="Georgia" w:cs="Arial"/>
          <w:b/>
          <w:szCs w:val="20"/>
          <w:lang w:val="es-ES_tradnl" w:eastAsia="es-ES"/>
        </w:rPr>
      </w:pPr>
    </w:p>
    <w:p w14:paraId="027D1D6C" w14:textId="77777777" w:rsidR="00795D4B" w:rsidRPr="00795D4B" w:rsidRDefault="00795D4B" w:rsidP="00795D4B">
      <w:pPr>
        <w:pBdr>
          <w:bottom w:val="single" w:sz="4" w:space="1" w:color="01C1D6"/>
        </w:pBdr>
        <w:spacing w:line="228" w:lineRule="auto"/>
        <w:ind w:right="141"/>
        <w:rPr>
          <w:rFonts w:ascii="Georgia" w:eastAsia="Times New Roman" w:hAnsi="Georgia" w:cs="Arial"/>
          <w:b/>
          <w:szCs w:val="20"/>
          <w:lang w:val="es-ES_tradnl" w:eastAsia="es-ES"/>
        </w:rPr>
      </w:pPr>
      <w:r>
        <w:rPr>
          <w:rFonts w:ascii="Georgia" w:eastAsia="Times New Roman" w:hAnsi="Georgia" w:cs="Arial"/>
          <w:b/>
          <w:szCs w:val="20"/>
          <w:lang w:val="es-ES_tradnl" w:eastAsia="es-ES"/>
        </w:rPr>
        <w:t>Cláusula Adicional</w:t>
      </w:r>
    </w:p>
    <w:p w14:paraId="14DE5708" w14:textId="77777777" w:rsidR="00D77C49" w:rsidRPr="00D77C49" w:rsidRDefault="00D77C49" w:rsidP="00D77C49">
      <w:pPr>
        <w:spacing w:line="228" w:lineRule="auto"/>
        <w:ind w:right="141"/>
        <w:rPr>
          <w:rFonts w:ascii="Georgia" w:eastAsia="Times New Roman" w:hAnsi="Georgia" w:cs="Arial"/>
          <w:szCs w:val="20"/>
          <w:lang w:val="es-ES" w:eastAsia="es-ES"/>
        </w:rPr>
      </w:pPr>
    </w:p>
    <w:p w14:paraId="30BD9A7D" w14:textId="77777777" w:rsidR="003872C2" w:rsidRPr="003872C2" w:rsidRDefault="003872C2" w:rsidP="003872C2">
      <w:pPr>
        <w:spacing w:line="228" w:lineRule="auto"/>
        <w:ind w:right="141"/>
        <w:rPr>
          <w:rFonts w:ascii="Georgia" w:eastAsia="Times New Roman" w:hAnsi="Georgia" w:cs="Arial"/>
          <w:szCs w:val="20"/>
          <w:lang w:val="es-ES" w:eastAsia="es-ES"/>
        </w:rPr>
      </w:pPr>
      <w:r w:rsidRPr="003872C2">
        <w:rPr>
          <w:rFonts w:ascii="Georgia" w:eastAsia="Times New Roman" w:hAnsi="Georgia" w:cs="Arial"/>
          <w:szCs w:val="20"/>
          <w:lang w:val="es-ES" w:eastAsia="es-ES"/>
        </w:rPr>
        <w:t>Chubb Seguros Perú S.A, en adelante LA COMPAÑÍA, emite la siguiente Cláusula Adicional, la cual podrá ser accesoria a las Condiciones Generales de la Póliza contratada, conforme a lo pactado en la Solicitud de Seguro correspondiente.</w:t>
      </w:r>
    </w:p>
    <w:p w14:paraId="74DC69F3" w14:textId="77777777" w:rsidR="003872C2" w:rsidRPr="003872C2" w:rsidRDefault="003872C2" w:rsidP="003872C2">
      <w:pPr>
        <w:spacing w:line="228" w:lineRule="auto"/>
        <w:ind w:right="141"/>
        <w:rPr>
          <w:rFonts w:ascii="Georgia" w:eastAsia="Times New Roman" w:hAnsi="Georgia" w:cs="Arial"/>
          <w:szCs w:val="20"/>
          <w:lang w:val="es-ES" w:eastAsia="es-ES"/>
        </w:rPr>
      </w:pPr>
    </w:p>
    <w:p w14:paraId="46D9867D" w14:textId="77777777" w:rsidR="007349FE" w:rsidRDefault="003872C2" w:rsidP="003872C2">
      <w:pPr>
        <w:spacing w:line="228" w:lineRule="auto"/>
        <w:ind w:right="141"/>
        <w:rPr>
          <w:rFonts w:ascii="Georgia" w:eastAsia="Times New Roman" w:hAnsi="Georgia" w:cs="Arial"/>
          <w:szCs w:val="20"/>
          <w:lang w:val="es-ES" w:eastAsia="es-ES"/>
        </w:rPr>
      </w:pPr>
      <w:r w:rsidRPr="003872C2">
        <w:rPr>
          <w:rFonts w:ascii="Georgia" w:eastAsia="Times New Roman" w:hAnsi="Georgia" w:cs="Arial"/>
          <w:szCs w:val="20"/>
          <w:lang w:val="es-ES" w:eastAsia="es-ES"/>
        </w:rPr>
        <w:t>Todo lo no previsto en la presente cláusula adicional se rige por lo señalado en las Condiciones Generales y Condiciones Particulares de la Póliza, así como de la normativa vigente.</w:t>
      </w:r>
    </w:p>
    <w:p w14:paraId="220942F4" w14:textId="77777777" w:rsidR="003872C2" w:rsidRDefault="003872C2" w:rsidP="003872C2">
      <w:pPr>
        <w:spacing w:line="228" w:lineRule="auto"/>
        <w:ind w:right="141"/>
        <w:rPr>
          <w:rFonts w:ascii="Georgia" w:eastAsia="Times New Roman" w:hAnsi="Georgia" w:cs="Arial"/>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61753C" w14:paraId="1966F290" w14:textId="77777777" w:rsidTr="009A785D">
        <w:tc>
          <w:tcPr>
            <w:tcW w:w="9214" w:type="dxa"/>
            <w:shd w:val="clear" w:color="auto" w:fill="01C1D6"/>
          </w:tcPr>
          <w:p w14:paraId="585A4070" w14:textId="77777777" w:rsidR="00D57050" w:rsidRPr="0061753C" w:rsidRDefault="00D57050" w:rsidP="009A785D">
            <w:pPr>
              <w:spacing w:line="228" w:lineRule="auto"/>
              <w:ind w:right="164"/>
              <w:rPr>
                <w:rFonts w:ascii="Georgia" w:hAnsi="Georgia" w:cs="Arial"/>
                <w:b/>
                <w:color w:val="FFFFFF"/>
              </w:rPr>
            </w:pPr>
            <w:r w:rsidRPr="0061753C">
              <w:rPr>
                <w:rFonts w:ascii="Georgia" w:hAnsi="Georgia" w:cs="Arial"/>
                <w:b/>
                <w:color w:val="FFFFFF"/>
              </w:rPr>
              <w:t xml:space="preserve">Artículo 1°     </w:t>
            </w:r>
            <w:r w:rsidR="00DB5ACA">
              <w:rPr>
                <w:rFonts w:ascii="Georgia" w:hAnsi="Georgia" w:cs="Arial"/>
                <w:b/>
                <w:color w:val="FFFFFF"/>
              </w:rPr>
              <w:t>Definiciones</w:t>
            </w:r>
          </w:p>
        </w:tc>
      </w:tr>
    </w:tbl>
    <w:p w14:paraId="1D744B0B" w14:textId="77777777" w:rsidR="0055675A" w:rsidRPr="00795D4B" w:rsidRDefault="0055675A" w:rsidP="00795D4B">
      <w:pPr>
        <w:spacing w:line="228" w:lineRule="auto"/>
        <w:ind w:right="141"/>
        <w:rPr>
          <w:rFonts w:ascii="Georgia" w:eastAsia="Times New Roman" w:hAnsi="Georgia" w:cs="Arial"/>
          <w:b/>
          <w:color w:val="0000FF"/>
          <w:szCs w:val="20"/>
          <w:lang w:val="es-ES" w:eastAsia="es-ES"/>
        </w:rPr>
      </w:pPr>
    </w:p>
    <w:p w14:paraId="116F987A" w14:textId="77777777" w:rsidR="003872C2" w:rsidRPr="003872C2" w:rsidRDefault="003872C2" w:rsidP="003872C2">
      <w:pPr>
        <w:spacing w:line="228" w:lineRule="auto"/>
        <w:ind w:right="141"/>
        <w:rPr>
          <w:rFonts w:ascii="Georgia" w:eastAsia="Times New Roman" w:hAnsi="Georgia" w:cs="Arial"/>
          <w:szCs w:val="20"/>
          <w:lang w:val="es-ES" w:eastAsia="es-ES"/>
        </w:rPr>
      </w:pPr>
      <w:r w:rsidRPr="003872C2">
        <w:rPr>
          <w:rFonts w:ascii="Georgia" w:eastAsia="Times New Roman" w:hAnsi="Georgia" w:cs="Arial"/>
          <w:szCs w:val="20"/>
          <w:lang w:val="es-ES" w:eastAsia="es-ES"/>
        </w:rPr>
        <w:t>Los términos que se indican a continuación tendrán el siguiente significado para todos los efectos de esta Póliza de Seguros:</w:t>
      </w:r>
    </w:p>
    <w:p w14:paraId="01392BA2" w14:textId="77777777" w:rsidR="003872C2" w:rsidRPr="003872C2" w:rsidRDefault="003872C2" w:rsidP="003872C2">
      <w:pPr>
        <w:spacing w:line="228" w:lineRule="auto"/>
        <w:ind w:right="141"/>
        <w:rPr>
          <w:rFonts w:ascii="Georgia" w:eastAsia="Times New Roman" w:hAnsi="Georgia" w:cs="Arial"/>
          <w:szCs w:val="20"/>
          <w:lang w:val="es-ES" w:eastAsia="es-ES"/>
        </w:rPr>
      </w:pPr>
    </w:p>
    <w:p w14:paraId="094B98E2" w14:textId="77777777" w:rsidR="003872C2" w:rsidRPr="003872C2" w:rsidRDefault="003872C2" w:rsidP="003872C2">
      <w:pPr>
        <w:spacing w:line="228" w:lineRule="auto"/>
        <w:ind w:right="141"/>
        <w:rPr>
          <w:rFonts w:ascii="Georgia" w:eastAsia="Times New Roman" w:hAnsi="Georgia" w:cs="Arial"/>
          <w:szCs w:val="20"/>
          <w:lang w:val="es-ES" w:eastAsia="es-ES"/>
        </w:rPr>
      </w:pPr>
      <w:r w:rsidRPr="003872C2">
        <w:rPr>
          <w:rFonts w:ascii="Georgia" w:eastAsia="Times New Roman" w:hAnsi="Georgia" w:cs="Arial"/>
          <w:b/>
          <w:szCs w:val="20"/>
          <w:lang w:val="es-ES" w:eastAsia="es-ES"/>
        </w:rPr>
        <w:t>Cáncer:</w:t>
      </w:r>
      <w:r w:rsidRPr="003872C2">
        <w:rPr>
          <w:rFonts w:ascii="Georgia" w:eastAsia="Times New Roman" w:hAnsi="Georgia" w:cs="Arial"/>
          <w:szCs w:val="20"/>
          <w:lang w:val="es-ES" w:eastAsia="es-ES"/>
        </w:rPr>
        <w:t xml:space="preserve"> La enfermedad que se manifiesta por la presencia de un tumor maligno, caracterizado por alteraciones celulares morfológicas y cromosómicas, crecimiento y expansión incontrolado y la invasión local y destrucción directa de tejidos, o metástasis; o grandes números de células malignas en los sistemas linfáticos o circulatorios.  Incluye entre ellos los diversos tipos de leucemia, los linfomas, la Enfermedad de Hodgkin y melanoma invasivo mayor a 0.75mm.</w:t>
      </w:r>
    </w:p>
    <w:p w14:paraId="3434BDF7" w14:textId="77777777" w:rsidR="003872C2" w:rsidRPr="003872C2" w:rsidRDefault="003872C2" w:rsidP="003872C2">
      <w:pPr>
        <w:spacing w:line="228" w:lineRule="auto"/>
        <w:ind w:right="141"/>
        <w:rPr>
          <w:rFonts w:ascii="Georgia" w:eastAsia="Times New Roman" w:hAnsi="Georgia" w:cs="Arial"/>
          <w:szCs w:val="20"/>
          <w:lang w:val="es-ES" w:eastAsia="es-ES"/>
        </w:rPr>
      </w:pPr>
    </w:p>
    <w:p w14:paraId="666883FC" w14:textId="77777777" w:rsidR="003872C2" w:rsidRPr="003872C2" w:rsidRDefault="003872C2" w:rsidP="003872C2">
      <w:pPr>
        <w:spacing w:line="228" w:lineRule="auto"/>
        <w:ind w:right="141"/>
        <w:rPr>
          <w:rFonts w:ascii="Georgia" w:eastAsia="Times New Roman" w:hAnsi="Georgia" w:cs="Arial"/>
          <w:szCs w:val="20"/>
          <w:lang w:val="es-ES" w:eastAsia="es-ES"/>
        </w:rPr>
      </w:pPr>
      <w:r w:rsidRPr="003872C2">
        <w:rPr>
          <w:rFonts w:ascii="Georgia" w:eastAsia="Times New Roman" w:hAnsi="Georgia" w:cs="Arial"/>
          <w:b/>
          <w:szCs w:val="20"/>
          <w:lang w:val="es-ES" w:eastAsia="es-ES"/>
        </w:rPr>
        <w:t>Cáncer Primario:</w:t>
      </w:r>
      <w:r w:rsidRPr="003872C2">
        <w:rPr>
          <w:rFonts w:ascii="Georgia" w:eastAsia="Times New Roman" w:hAnsi="Georgia" w:cs="Arial"/>
          <w:szCs w:val="20"/>
          <w:lang w:val="es-ES" w:eastAsia="es-ES"/>
        </w:rPr>
        <w:t xml:space="preserve"> Es aquel Cáncer que no ha sido diagnosticado ni ha recibido tratamiento con anterioridad a la contratación de la Póliza.</w:t>
      </w:r>
    </w:p>
    <w:p w14:paraId="529C352C" w14:textId="77777777" w:rsidR="003872C2" w:rsidRPr="003872C2" w:rsidRDefault="003872C2" w:rsidP="003872C2">
      <w:pPr>
        <w:spacing w:line="228" w:lineRule="auto"/>
        <w:ind w:right="141"/>
        <w:rPr>
          <w:rFonts w:ascii="Georgia" w:eastAsia="Times New Roman" w:hAnsi="Georgia" w:cs="Arial"/>
          <w:szCs w:val="20"/>
          <w:lang w:val="es-ES" w:eastAsia="es-ES"/>
        </w:rPr>
      </w:pPr>
    </w:p>
    <w:p w14:paraId="4DB0BA3E" w14:textId="77777777" w:rsidR="003872C2" w:rsidRPr="003872C2" w:rsidRDefault="003872C2" w:rsidP="003872C2">
      <w:pPr>
        <w:spacing w:line="228" w:lineRule="auto"/>
        <w:ind w:right="141"/>
        <w:rPr>
          <w:rFonts w:ascii="Georgia" w:eastAsia="Times New Roman" w:hAnsi="Georgia" w:cs="Arial"/>
          <w:szCs w:val="20"/>
          <w:lang w:val="es-ES" w:eastAsia="es-ES"/>
        </w:rPr>
      </w:pPr>
      <w:r w:rsidRPr="003872C2">
        <w:rPr>
          <w:rFonts w:ascii="Georgia" w:eastAsia="Times New Roman" w:hAnsi="Georgia" w:cs="Arial"/>
          <w:b/>
          <w:szCs w:val="20"/>
          <w:lang w:val="es-ES" w:eastAsia="es-ES"/>
        </w:rPr>
        <w:t>Diagnóstico Clínico:</w:t>
      </w:r>
      <w:r w:rsidRPr="003872C2">
        <w:rPr>
          <w:rFonts w:ascii="Georgia" w:eastAsia="Times New Roman" w:hAnsi="Georgia" w:cs="Arial"/>
          <w:szCs w:val="20"/>
          <w:lang w:val="es-ES" w:eastAsia="es-ES"/>
        </w:rPr>
        <w:t xml:space="preserve"> El informe realizado por un médico oncólogo, basado en la historia clínica del paciente y confirmado por un Examen de Anatomía Patológica que certifique positivamente la presencia de un Cáncer. Será requisito la presentación de un informe histopatológico por escrito.</w:t>
      </w:r>
    </w:p>
    <w:p w14:paraId="0FE5AD86" w14:textId="77777777" w:rsidR="007349FE" w:rsidRDefault="007349FE" w:rsidP="007349FE">
      <w:pPr>
        <w:spacing w:line="228" w:lineRule="auto"/>
        <w:ind w:right="141"/>
        <w:rPr>
          <w:rFonts w:ascii="Georgia" w:eastAsia="Times New Roman" w:hAnsi="Georgia" w:cs="Arial"/>
          <w:b/>
          <w:bCs/>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61753C" w14:paraId="74C195CB" w14:textId="77777777" w:rsidTr="009A785D">
        <w:tc>
          <w:tcPr>
            <w:tcW w:w="9214" w:type="dxa"/>
            <w:shd w:val="clear" w:color="auto" w:fill="01C1D6"/>
          </w:tcPr>
          <w:p w14:paraId="793EAEB7" w14:textId="77777777" w:rsidR="00D57050" w:rsidRPr="0061753C" w:rsidRDefault="00D57050" w:rsidP="00D57050">
            <w:pPr>
              <w:spacing w:line="228" w:lineRule="auto"/>
              <w:ind w:right="164"/>
              <w:rPr>
                <w:rFonts w:ascii="Georgia" w:hAnsi="Georgia" w:cs="Arial"/>
                <w:b/>
                <w:color w:val="FFFFFF"/>
              </w:rPr>
            </w:pPr>
            <w:r>
              <w:rPr>
                <w:rFonts w:ascii="Georgia" w:hAnsi="Georgia" w:cs="Arial"/>
                <w:b/>
                <w:color w:val="FFFFFF"/>
              </w:rPr>
              <w:t>Artículo 2</w:t>
            </w:r>
            <w:r w:rsidRPr="0061753C">
              <w:rPr>
                <w:rFonts w:ascii="Georgia" w:hAnsi="Georgia" w:cs="Arial"/>
                <w:b/>
                <w:color w:val="FFFFFF"/>
              </w:rPr>
              <w:t xml:space="preserve">°     </w:t>
            </w:r>
            <w:r w:rsidR="00DB5ACA">
              <w:rPr>
                <w:rFonts w:ascii="Georgia" w:hAnsi="Georgia" w:cs="Arial"/>
                <w:b/>
                <w:color w:val="FFFFFF"/>
              </w:rPr>
              <w:t>Cobertura</w:t>
            </w:r>
          </w:p>
        </w:tc>
      </w:tr>
    </w:tbl>
    <w:p w14:paraId="419C7B91" w14:textId="77777777" w:rsidR="0055675A" w:rsidRPr="00795D4B" w:rsidRDefault="0055675A" w:rsidP="00795D4B">
      <w:pPr>
        <w:spacing w:line="228" w:lineRule="auto"/>
        <w:ind w:right="141"/>
        <w:rPr>
          <w:rFonts w:ascii="Georgia" w:eastAsia="Times New Roman" w:hAnsi="Georgia" w:cs="Arial"/>
          <w:b/>
          <w:szCs w:val="20"/>
          <w:lang w:val="es-ES" w:eastAsia="es-ES"/>
        </w:rPr>
      </w:pPr>
    </w:p>
    <w:p w14:paraId="2B3D3608" w14:textId="77777777" w:rsidR="003872C2" w:rsidRPr="003872C2" w:rsidRDefault="003872C2" w:rsidP="003872C2">
      <w:pPr>
        <w:spacing w:line="228" w:lineRule="auto"/>
        <w:ind w:right="141"/>
        <w:rPr>
          <w:rFonts w:ascii="Georgia" w:eastAsia="Times New Roman" w:hAnsi="Georgia" w:cs="Arial"/>
          <w:szCs w:val="20"/>
          <w:lang w:val="es-ES"/>
        </w:rPr>
      </w:pPr>
      <w:r w:rsidRPr="003872C2">
        <w:rPr>
          <w:rFonts w:ascii="Georgia" w:eastAsia="Times New Roman" w:hAnsi="Georgia" w:cs="Arial"/>
          <w:szCs w:val="20"/>
          <w:lang w:val="es-ES"/>
        </w:rPr>
        <w:t xml:space="preserve">LA COMPAÑÍA pagará la suma asegurada indicada en las Condiciones Particulares y/o Certificado de Seguro, según corresponda, en caso de “Diagnóstico Clínico de Cáncer Primario” que se haya iniciado luego del Periodo de Carencia correspondiente. </w:t>
      </w:r>
    </w:p>
    <w:p w14:paraId="664E87E7" w14:textId="77777777" w:rsidR="003872C2" w:rsidRPr="003872C2" w:rsidRDefault="003872C2" w:rsidP="003872C2">
      <w:pPr>
        <w:spacing w:line="228" w:lineRule="auto"/>
        <w:ind w:right="141"/>
        <w:rPr>
          <w:rFonts w:ascii="Georgia" w:eastAsia="Times New Roman" w:hAnsi="Georgia" w:cs="Arial"/>
          <w:szCs w:val="20"/>
          <w:lang w:val="es-ES"/>
        </w:rPr>
      </w:pPr>
    </w:p>
    <w:p w14:paraId="6DC08F31" w14:textId="77777777" w:rsidR="00DB5ACA" w:rsidRDefault="003872C2" w:rsidP="003872C2">
      <w:pPr>
        <w:spacing w:line="228" w:lineRule="auto"/>
        <w:ind w:right="141"/>
        <w:rPr>
          <w:rFonts w:ascii="Georgia" w:eastAsia="Times New Roman" w:hAnsi="Georgia" w:cs="Arial"/>
          <w:szCs w:val="20"/>
          <w:lang w:val="es-ES"/>
        </w:rPr>
      </w:pPr>
      <w:r w:rsidRPr="003872C2">
        <w:rPr>
          <w:rFonts w:ascii="Georgia" w:eastAsia="Times New Roman" w:hAnsi="Georgia" w:cs="Arial"/>
          <w:szCs w:val="20"/>
          <w:lang w:val="es-ES"/>
        </w:rPr>
        <w:t>La COMPAÑÍA pagará los beneficios descritos en las Condiciones Particulares o Certificado de Seguro, según corresponda, en los montos, plazos y términos que se señalan en las mismas.</w:t>
      </w:r>
    </w:p>
    <w:p w14:paraId="0F4248AF" w14:textId="77777777" w:rsidR="003872C2" w:rsidRDefault="003872C2" w:rsidP="003872C2">
      <w:pPr>
        <w:spacing w:line="228" w:lineRule="auto"/>
        <w:ind w:right="141"/>
        <w:rPr>
          <w:rFonts w:ascii="Georgia" w:eastAsia="Times New Roman" w:hAnsi="Georgia" w:cs="Arial"/>
          <w:szCs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3872C2" w:rsidRPr="0061753C" w14:paraId="62795B0C" w14:textId="77777777" w:rsidTr="00286476">
        <w:tc>
          <w:tcPr>
            <w:tcW w:w="9214" w:type="dxa"/>
            <w:shd w:val="clear" w:color="auto" w:fill="01C1D6"/>
          </w:tcPr>
          <w:p w14:paraId="7CEB1B0A" w14:textId="77777777" w:rsidR="003872C2" w:rsidRPr="0061753C" w:rsidRDefault="003872C2" w:rsidP="00286476">
            <w:pPr>
              <w:spacing w:line="228" w:lineRule="auto"/>
              <w:ind w:right="164"/>
              <w:rPr>
                <w:rFonts w:ascii="Georgia" w:hAnsi="Georgia" w:cs="Arial"/>
                <w:b/>
                <w:color w:val="FFFFFF"/>
              </w:rPr>
            </w:pPr>
            <w:r>
              <w:rPr>
                <w:rFonts w:ascii="Georgia" w:hAnsi="Georgia" w:cs="Arial"/>
                <w:b/>
                <w:color w:val="FFFFFF"/>
              </w:rPr>
              <w:t>Artículo 3</w:t>
            </w:r>
            <w:r w:rsidRPr="0061753C">
              <w:rPr>
                <w:rFonts w:ascii="Georgia" w:hAnsi="Georgia" w:cs="Arial"/>
                <w:b/>
                <w:color w:val="FFFFFF"/>
              </w:rPr>
              <w:t xml:space="preserve">°     </w:t>
            </w:r>
            <w:r>
              <w:rPr>
                <w:rFonts w:ascii="Georgia" w:hAnsi="Georgia" w:cs="Arial"/>
                <w:b/>
                <w:color w:val="FFFFFF"/>
              </w:rPr>
              <w:t>Periodo de Carencia</w:t>
            </w:r>
          </w:p>
        </w:tc>
      </w:tr>
    </w:tbl>
    <w:p w14:paraId="64A6C47B" w14:textId="77777777" w:rsidR="003872C2" w:rsidRPr="00795D4B" w:rsidRDefault="003872C2" w:rsidP="003872C2">
      <w:pPr>
        <w:spacing w:line="228" w:lineRule="auto"/>
        <w:ind w:right="141"/>
        <w:rPr>
          <w:rFonts w:ascii="Georgia" w:eastAsia="Times New Roman" w:hAnsi="Georgia" w:cs="Arial"/>
          <w:b/>
          <w:szCs w:val="20"/>
          <w:lang w:val="es-ES" w:eastAsia="es-ES"/>
        </w:rPr>
      </w:pPr>
    </w:p>
    <w:p w14:paraId="6CCC9CD0" w14:textId="77777777" w:rsidR="003872C2" w:rsidRPr="003872C2" w:rsidRDefault="003872C2" w:rsidP="003872C2">
      <w:pPr>
        <w:spacing w:line="228" w:lineRule="auto"/>
        <w:ind w:right="141"/>
        <w:rPr>
          <w:rFonts w:ascii="Georgia" w:eastAsia="Times New Roman" w:hAnsi="Georgia" w:cs="Arial"/>
          <w:b/>
          <w:szCs w:val="20"/>
          <w:lang w:val="es-ES" w:eastAsia="es-ES"/>
        </w:rPr>
      </w:pPr>
      <w:r w:rsidRPr="003872C2">
        <w:rPr>
          <w:rFonts w:ascii="Georgia" w:eastAsia="Times New Roman" w:hAnsi="Georgia" w:cs="Arial"/>
          <w:b/>
          <w:szCs w:val="20"/>
          <w:lang w:val="es-ES" w:eastAsia="es-ES"/>
        </w:rPr>
        <w:t xml:space="preserve">Para cada ASEGURADO cubierto por la presente cláusula adicional, existirá un Período de Carencia de </w:t>
      </w:r>
      <w:proofErr w:type="spellStart"/>
      <w:r w:rsidRPr="003872C2">
        <w:rPr>
          <w:rFonts w:ascii="Georgia" w:eastAsia="Times New Roman" w:hAnsi="Georgia" w:cs="Arial"/>
          <w:b/>
          <w:szCs w:val="20"/>
          <w:highlight w:val="yellow"/>
          <w:lang w:val="es-ES" w:eastAsia="es-ES"/>
        </w:rPr>
        <w:t>xx</w:t>
      </w:r>
      <w:proofErr w:type="spellEnd"/>
      <w:r w:rsidRPr="003872C2">
        <w:rPr>
          <w:rFonts w:ascii="Georgia" w:eastAsia="Times New Roman" w:hAnsi="Georgia" w:cs="Arial"/>
          <w:b/>
          <w:szCs w:val="20"/>
          <w:lang w:val="es-ES" w:eastAsia="es-ES"/>
        </w:rPr>
        <w:t xml:space="preserve"> días calendario, o en reemplazo de éste el que se indique en las Condiciones Particulares o Certificado de Seguro, contados a partir de la fecha de inicio de vigencia de la Póliza o desde la fecha de incorporación del ASEGURADO, según se indique en las Condiciones Particulares o Certificado de Seguro, según corresponda.</w:t>
      </w:r>
    </w:p>
    <w:p w14:paraId="00A8DA9E" w14:textId="77777777" w:rsidR="003872C2" w:rsidRPr="003872C2" w:rsidRDefault="003872C2" w:rsidP="003872C2">
      <w:pPr>
        <w:spacing w:line="228" w:lineRule="auto"/>
        <w:ind w:right="141"/>
        <w:rPr>
          <w:rFonts w:ascii="Georgia" w:eastAsia="Times New Roman" w:hAnsi="Georgia" w:cs="Arial"/>
          <w:b/>
          <w:szCs w:val="20"/>
          <w:lang w:val="es-ES" w:eastAsia="es-ES"/>
        </w:rPr>
      </w:pPr>
    </w:p>
    <w:p w14:paraId="68D78709" w14:textId="77777777" w:rsidR="003872C2" w:rsidRPr="003872C2" w:rsidRDefault="003872C2" w:rsidP="003872C2">
      <w:pPr>
        <w:spacing w:line="228" w:lineRule="auto"/>
        <w:ind w:right="141"/>
        <w:rPr>
          <w:rFonts w:ascii="Georgia" w:eastAsia="Times New Roman" w:hAnsi="Georgia" w:cs="Arial"/>
          <w:b/>
          <w:szCs w:val="20"/>
          <w:lang w:val="es-ES" w:eastAsia="es-ES"/>
        </w:rPr>
      </w:pPr>
      <w:r w:rsidRPr="003872C2">
        <w:rPr>
          <w:rFonts w:ascii="Georgia" w:eastAsia="Times New Roman" w:hAnsi="Georgia" w:cs="Arial"/>
          <w:b/>
          <w:szCs w:val="20"/>
          <w:lang w:val="es-ES" w:eastAsia="es-ES"/>
        </w:rPr>
        <w:t xml:space="preserve">Por lo tanto, solo estará cubierto el primer Diagnóstico Clínico de Cáncer (ver definición “Diagnóstico Clínico”) que se haya iniciado después de transcurrido el Periodo de Carencia y en tanto haya sido emitido durante la vigencia de la Póliza. </w:t>
      </w:r>
    </w:p>
    <w:p w14:paraId="2F64417C" w14:textId="77777777" w:rsidR="003872C2" w:rsidRPr="003872C2" w:rsidRDefault="003872C2" w:rsidP="003872C2">
      <w:pPr>
        <w:spacing w:line="228" w:lineRule="auto"/>
        <w:ind w:right="141"/>
        <w:rPr>
          <w:rFonts w:ascii="Georgia" w:eastAsia="Times New Roman" w:hAnsi="Georgia" w:cs="Arial"/>
          <w:b/>
          <w:szCs w:val="20"/>
          <w:lang w:val="es-ES" w:eastAsia="es-ES"/>
        </w:rPr>
      </w:pPr>
    </w:p>
    <w:p w14:paraId="3430EF7D" w14:textId="77777777" w:rsidR="003872C2" w:rsidRPr="003872C2" w:rsidRDefault="003872C2" w:rsidP="003872C2">
      <w:pPr>
        <w:spacing w:line="228" w:lineRule="auto"/>
        <w:ind w:right="141"/>
        <w:rPr>
          <w:rFonts w:ascii="Georgia" w:eastAsia="Times New Roman" w:hAnsi="Georgia" w:cs="Arial"/>
          <w:b/>
          <w:szCs w:val="20"/>
          <w:lang w:val="es-ES"/>
        </w:rPr>
      </w:pPr>
      <w:r w:rsidRPr="003872C2">
        <w:rPr>
          <w:rFonts w:ascii="Georgia" w:eastAsia="Times New Roman" w:hAnsi="Georgia" w:cs="Arial"/>
          <w:b/>
          <w:szCs w:val="20"/>
          <w:lang w:val="es-ES" w:eastAsia="es-ES"/>
        </w:rPr>
        <w:t>No se exigirá Período de Carencia en las renovaciones del plazo de vigencia de la Póliza, en tanto se den en forma continuada y sin interrupción alguna.</w:t>
      </w:r>
    </w:p>
    <w:p w14:paraId="54606626" w14:textId="77777777" w:rsidR="003872C2" w:rsidRDefault="003872C2" w:rsidP="003872C2">
      <w:pPr>
        <w:spacing w:line="228" w:lineRule="auto"/>
        <w:ind w:right="141"/>
        <w:rPr>
          <w:rFonts w:ascii="Georgia" w:eastAsia="Times New Roman" w:hAnsi="Georgia" w:cs="Arial"/>
          <w:szCs w:val="20"/>
          <w:lang w:val="es-ES" w:eastAsia="es-ES"/>
        </w:rPr>
      </w:pPr>
    </w:p>
    <w:p w14:paraId="113BB48C" w14:textId="77777777" w:rsidR="003872C2" w:rsidRDefault="003872C2" w:rsidP="003872C2">
      <w:pPr>
        <w:spacing w:line="228" w:lineRule="auto"/>
        <w:ind w:right="141"/>
        <w:rPr>
          <w:rFonts w:ascii="Georgia" w:eastAsia="Times New Roman" w:hAnsi="Georgia" w:cs="Arial"/>
          <w:szCs w:val="20"/>
          <w:lang w:val="es-ES" w:eastAsia="es-ES"/>
        </w:rPr>
      </w:pPr>
    </w:p>
    <w:p w14:paraId="3A8A1230" w14:textId="77777777" w:rsidR="003872C2" w:rsidRDefault="003872C2" w:rsidP="003872C2">
      <w:pPr>
        <w:spacing w:line="228" w:lineRule="auto"/>
        <w:ind w:right="141"/>
        <w:rPr>
          <w:rFonts w:ascii="Georgia" w:eastAsia="Times New Roman" w:hAnsi="Georgia" w:cs="Arial"/>
          <w:szCs w:val="20"/>
          <w:lang w:val="es-ES" w:eastAsia="es-ES"/>
        </w:rPr>
      </w:pPr>
    </w:p>
    <w:p w14:paraId="5DE87F2C" w14:textId="77777777" w:rsidR="003872C2" w:rsidRDefault="003872C2" w:rsidP="003872C2">
      <w:pPr>
        <w:spacing w:line="228" w:lineRule="auto"/>
        <w:ind w:right="141"/>
        <w:rPr>
          <w:rFonts w:ascii="Georgia" w:eastAsia="Times New Roman" w:hAnsi="Georgia" w:cs="Arial"/>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61753C" w14:paraId="777C26DF" w14:textId="77777777" w:rsidTr="009A785D">
        <w:tc>
          <w:tcPr>
            <w:tcW w:w="9214" w:type="dxa"/>
            <w:shd w:val="clear" w:color="auto" w:fill="01C1D6"/>
          </w:tcPr>
          <w:p w14:paraId="3B639C9E" w14:textId="77777777" w:rsidR="00D57050" w:rsidRPr="0061753C" w:rsidRDefault="00D57050" w:rsidP="00D57050">
            <w:pPr>
              <w:spacing w:line="228" w:lineRule="auto"/>
              <w:ind w:right="164"/>
              <w:rPr>
                <w:rFonts w:ascii="Georgia" w:hAnsi="Georgia" w:cs="Arial"/>
                <w:b/>
                <w:color w:val="FFFFFF"/>
              </w:rPr>
            </w:pPr>
            <w:r>
              <w:rPr>
                <w:rFonts w:ascii="Georgia" w:hAnsi="Georgia" w:cs="Arial"/>
                <w:b/>
                <w:color w:val="FFFFFF"/>
              </w:rPr>
              <w:lastRenderedPageBreak/>
              <w:t xml:space="preserve">Artículo </w:t>
            </w:r>
            <w:r w:rsidR="003872C2">
              <w:rPr>
                <w:rFonts w:ascii="Georgia" w:hAnsi="Georgia" w:cs="Arial"/>
                <w:b/>
                <w:color w:val="FFFFFF"/>
              </w:rPr>
              <w:t>4</w:t>
            </w:r>
            <w:r w:rsidRPr="0061753C">
              <w:rPr>
                <w:rFonts w:ascii="Georgia" w:hAnsi="Georgia" w:cs="Arial"/>
                <w:b/>
                <w:color w:val="FFFFFF"/>
              </w:rPr>
              <w:t xml:space="preserve">°     </w:t>
            </w:r>
            <w:r w:rsidR="007349FE">
              <w:rPr>
                <w:rFonts w:ascii="Georgia" w:hAnsi="Georgia" w:cs="Arial"/>
                <w:b/>
                <w:color w:val="FFFFFF"/>
              </w:rPr>
              <w:t>Condiciones para ser Asegurado</w:t>
            </w:r>
          </w:p>
        </w:tc>
      </w:tr>
    </w:tbl>
    <w:p w14:paraId="70EC322B" w14:textId="77777777" w:rsidR="0055675A" w:rsidRPr="00795D4B" w:rsidRDefault="0055675A" w:rsidP="00D57050">
      <w:pPr>
        <w:spacing w:line="228" w:lineRule="auto"/>
        <w:ind w:right="141"/>
        <w:rPr>
          <w:rFonts w:ascii="Georgia" w:eastAsia="Times New Roman" w:hAnsi="Georgia" w:cs="Arial"/>
          <w:b/>
          <w:szCs w:val="20"/>
          <w:lang w:val="es-ES" w:eastAsia="es-ES"/>
        </w:rPr>
      </w:pPr>
    </w:p>
    <w:p w14:paraId="304D90E3" w14:textId="77777777" w:rsidR="007349FE" w:rsidRDefault="003872C2" w:rsidP="00DB5ACA">
      <w:pPr>
        <w:spacing w:line="228" w:lineRule="auto"/>
        <w:ind w:right="141"/>
        <w:rPr>
          <w:rFonts w:ascii="Georgia" w:eastAsia="Times New Roman" w:hAnsi="Georgia" w:cs="Arial"/>
          <w:szCs w:val="20"/>
          <w:lang w:val="es-ES" w:eastAsia="es-ES"/>
        </w:rPr>
      </w:pPr>
      <w:r w:rsidRPr="003872C2">
        <w:rPr>
          <w:rFonts w:ascii="Georgia" w:eastAsia="Times New Roman" w:hAnsi="Georgia" w:cs="Arial"/>
          <w:szCs w:val="20"/>
          <w:lang w:val="es-ES" w:eastAsia="es-ES"/>
        </w:rPr>
        <w:t>El ASEGURADO deberá cumplir con los requisitos de edad estipulados en las Condiciones Generales de la Póliza de Seguro para poder acceder a la presente cobertura adicional.</w:t>
      </w:r>
    </w:p>
    <w:p w14:paraId="2ABC1248" w14:textId="77777777" w:rsidR="003872C2" w:rsidRPr="00795D4B" w:rsidRDefault="003872C2" w:rsidP="00DB5ACA">
      <w:pPr>
        <w:spacing w:line="228" w:lineRule="auto"/>
        <w:ind w:right="141"/>
        <w:rPr>
          <w:rFonts w:ascii="Georgia" w:eastAsia="Times New Roman" w:hAnsi="Georgia" w:cs="Arial"/>
          <w:b/>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61753C" w14:paraId="4917CB02" w14:textId="77777777" w:rsidTr="009A785D">
        <w:tc>
          <w:tcPr>
            <w:tcW w:w="9214" w:type="dxa"/>
            <w:shd w:val="clear" w:color="auto" w:fill="01C1D6"/>
          </w:tcPr>
          <w:p w14:paraId="0C162861" w14:textId="77777777" w:rsidR="00D57050" w:rsidRPr="0061753C" w:rsidRDefault="003872C2" w:rsidP="00D57050">
            <w:pPr>
              <w:spacing w:line="228" w:lineRule="auto"/>
              <w:ind w:right="164"/>
              <w:rPr>
                <w:rFonts w:ascii="Georgia" w:hAnsi="Georgia" w:cs="Arial"/>
                <w:b/>
                <w:color w:val="FFFFFF"/>
              </w:rPr>
            </w:pPr>
            <w:r>
              <w:rPr>
                <w:rFonts w:ascii="Georgia" w:hAnsi="Georgia" w:cs="Arial"/>
                <w:b/>
                <w:color w:val="FFFFFF"/>
              </w:rPr>
              <w:t>Artículo 5</w:t>
            </w:r>
            <w:r w:rsidR="00D57050" w:rsidRPr="0061753C">
              <w:rPr>
                <w:rFonts w:ascii="Georgia" w:hAnsi="Georgia" w:cs="Arial"/>
                <w:b/>
                <w:color w:val="FFFFFF"/>
              </w:rPr>
              <w:t xml:space="preserve">°     </w:t>
            </w:r>
            <w:r w:rsidR="00DB5ACA">
              <w:rPr>
                <w:rFonts w:ascii="Georgia" w:hAnsi="Georgia" w:cs="Arial"/>
                <w:b/>
                <w:color w:val="FFFFFF"/>
              </w:rPr>
              <w:t>Exclusiones</w:t>
            </w:r>
          </w:p>
        </w:tc>
      </w:tr>
    </w:tbl>
    <w:p w14:paraId="30D3E74A" w14:textId="77777777" w:rsidR="0055675A" w:rsidRPr="00795D4B" w:rsidRDefault="0055675A" w:rsidP="00795D4B">
      <w:pPr>
        <w:spacing w:line="228" w:lineRule="auto"/>
        <w:ind w:right="141"/>
        <w:rPr>
          <w:rFonts w:ascii="Georgia" w:eastAsia="Times New Roman" w:hAnsi="Georgia" w:cs="Arial"/>
          <w:b/>
          <w:szCs w:val="20"/>
          <w:lang w:val="es-ES" w:eastAsia="es-ES"/>
        </w:rPr>
      </w:pPr>
    </w:p>
    <w:p w14:paraId="4C5CDA5F" w14:textId="77777777" w:rsidR="003872C2" w:rsidRPr="003872C2" w:rsidRDefault="003872C2" w:rsidP="003872C2">
      <w:pPr>
        <w:spacing w:line="228" w:lineRule="auto"/>
        <w:ind w:right="141"/>
        <w:rPr>
          <w:rFonts w:ascii="Georgia" w:eastAsia="Times New Roman" w:hAnsi="Georgia" w:cs="Arial"/>
          <w:b/>
          <w:szCs w:val="20"/>
          <w:lang w:val="es-ES" w:eastAsia="es-ES"/>
        </w:rPr>
      </w:pPr>
      <w:r w:rsidRPr="003872C2">
        <w:rPr>
          <w:rFonts w:ascii="Georgia" w:eastAsia="Times New Roman" w:hAnsi="Georgia" w:cs="Arial"/>
          <w:b/>
          <w:szCs w:val="20"/>
          <w:lang w:val="es-ES" w:eastAsia="es-ES"/>
        </w:rPr>
        <w:t>Quedan excluidas de la cobertura otorgada por la presente cláusula adicional, las siguientes situaciones:</w:t>
      </w:r>
    </w:p>
    <w:p w14:paraId="21325C35" w14:textId="77777777" w:rsidR="003872C2" w:rsidRPr="003872C2" w:rsidRDefault="003872C2" w:rsidP="003872C2">
      <w:pPr>
        <w:spacing w:line="228" w:lineRule="auto"/>
        <w:ind w:right="141"/>
        <w:rPr>
          <w:rFonts w:ascii="Georgia" w:eastAsia="Times New Roman" w:hAnsi="Georgia" w:cs="Arial"/>
          <w:b/>
          <w:szCs w:val="20"/>
          <w:lang w:val="es-ES" w:eastAsia="es-ES"/>
        </w:rPr>
      </w:pPr>
    </w:p>
    <w:p w14:paraId="24083419" w14:textId="77777777" w:rsidR="003872C2" w:rsidRPr="003872C2" w:rsidRDefault="003872C2" w:rsidP="003872C2">
      <w:pPr>
        <w:pStyle w:val="Prrafodelista"/>
        <w:numPr>
          <w:ilvl w:val="0"/>
          <w:numId w:val="14"/>
        </w:numPr>
        <w:spacing w:line="228" w:lineRule="auto"/>
        <w:ind w:left="426" w:right="141" w:hanging="426"/>
        <w:rPr>
          <w:rFonts w:ascii="Georgia" w:eastAsia="Times New Roman" w:hAnsi="Georgia" w:cs="Arial"/>
          <w:b/>
          <w:szCs w:val="20"/>
          <w:lang w:val="es-ES" w:eastAsia="es-ES"/>
        </w:rPr>
      </w:pPr>
      <w:r w:rsidRPr="003872C2">
        <w:rPr>
          <w:rFonts w:ascii="Georgia" w:eastAsia="Times New Roman" w:hAnsi="Georgia" w:cs="Arial"/>
          <w:b/>
          <w:szCs w:val="20"/>
          <w:lang w:val="es-ES" w:eastAsia="es-ES"/>
        </w:rPr>
        <w:t>Tumores que presentan los cambios malignos característicos del carcinoma “in situ” o aquellos considerados por estudio histológico como “</w:t>
      </w:r>
      <w:proofErr w:type="spellStart"/>
      <w:r w:rsidRPr="003872C2">
        <w:rPr>
          <w:rFonts w:ascii="Georgia" w:eastAsia="Times New Roman" w:hAnsi="Georgia" w:cs="Arial"/>
          <w:b/>
          <w:szCs w:val="20"/>
          <w:lang w:val="es-ES" w:eastAsia="es-ES"/>
        </w:rPr>
        <w:t>pre-malignos</w:t>
      </w:r>
      <w:proofErr w:type="spellEnd"/>
      <w:r w:rsidRPr="003872C2">
        <w:rPr>
          <w:rFonts w:ascii="Georgia" w:eastAsia="Times New Roman" w:hAnsi="Georgia" w:cs="Arial"/>
          <w:b/>
          <w:szCs w:val="20"/>
          <w:lang w:val="es-ES" w:eastAsia="es-ES"/>
        </w:rPr>
        <w:t xml:space="preserve">”, cáncer </w:t>
      </w:r>
      <w:proofErr w:type="spellStart"/>
      <w:r w:rsidRPr="003872C2">
        <w:rPr>
          <w:rFonts w:ascii="Georgia" w:eastAsia="Times New Roman" w:hAnsi="Georgia" w:cs="Arial"/>
          <w:b/>
          <w:szCs w:val="20"/>
          <w:lang w:val="es-ES" w:eastAsia="es-ES"/>
        </w:rPr>
        <w:t>cérvicouterino</w:t>
      </w:r>
      <w:proofErr w:type="spellEnd"/>
      <w:r w:rsidRPr="003872C2">
        <w:rPr>
          <w:rFonts w:ascii="Georgia" w:eastAsia="Times New Roman" w:hAnsi="Georgia" w:cs="Arial"/>
          <w:b/>
          <w:szCs w:val="20"/>
          <w:lang w:val="es-ES" w:eastAsia="es-ES"/>
        </w:rPr>
        <w:t xml:space="preserve"> “in situ” y cáncer de próstata “in situ”.</w:t>
      </w:r>
    </w:p>
    <w:p w14:paraId="69C36A90" w14:textId="77777777" w:rsidR="003872C2" w:rsidRPr="003872C2" w:rsidRDefault="003872C2" w:rsidP="003872C2">
      <w:pPr>
        <w:pStyle w:val="Prrafodelista"/>
        <w:numPr>
          <w:ilvl w:val="0"/>
          <w:numId w:val="14"/>
        </w:numPr>
        <w:spacing w:line="228" w:lineRule="auto"/>
        <w:ind w:left="426" w:right="141" w:hanging="426"/>
        <w:rPr>
          <w:rFonts w:ascii="Georgia" w:eastAsia="Times New Roman" w:hAnsi="Georgia" w:cs="Arial"/>
          <w:b/>
          <w:szCs w:val="20"/>
          <w:lang w:val="es-ES" w:eastAsia="es-ES"/>
        </w:rPr>
      </w:pPr>
      <w:r w:rsidRPr="003872C2">
        <w:rPr>
          <w:rFonts w:ascii="Georgia" w:eastAsia="Times New Roman" w:hAnsi="Georgia" w:cs="Arial"/>
          <w:b/>
          <w:szCs w:val="20"/>
          <w:lang w:val="es-ES" w:eastAsia="es-ES"/>
        </w:rPr>
        <w:t>Todos los carcinomas de la piel, carcinomas basocelulares, células escamosas, excepto cuando se trate de diseminación a otros órganos.</w:t>
      </w:r>
    </w:p>
    <w:p w14:paraId="08DBFB18" w14:textId="77777777" w:rsidR="003872C2" w:rsidRPr="003872C2" w:rsidRDefault="003872C2" w:rsidP="003872C2">
      <w:pPr>
        <w:pStyle w:val="Prrafodelista"/>
        <w:numPr>
          <w:ilvl w:val="0"/>
          <w:numId w:val="14"/>
        </w:numPr>
        <w:spacing w:line="228" w:lineRule="auto"/>
        <w:ind w:left="426" w:right="141" w:hanging="426"/>
        <w:rPr>
          <w:rFonts w:ascii="Georgia" w:eastAsia="Times New Roman" w:hAnsi="Georgia" w:cs="Arial"/>
          <w:b/>
          <w:szCs w:val="20"/>
          <w:lang w:val="es-ES" w:eastAsia="es-ES"/>
        </w:rPr>
      </w:pPr>
      <w:r w:rsidRPr="003872C2">
        <w:rPr>
          <w:rFonts w:ascii="Georgia" w:eastAsia="Times New Roman" w:hAnsi="Georgia" w:cs="Arial"/>
          <w:b/>
          <w:szCs w:val="20"/>
          <w:lang w:val="es-ES" w:eastAsia="es-ES"/>
        </w:rPr>
        <w:t>Sarcoma de Kaposi y otros tumores relacionados con la infección VIH o SIDA.</w:t>
      </w:r>
    </w:p>
    <w:p w14:paraId="7A3C86F4" w14:textId="77777777" w:rsidR="003872C2" w:rsidRPr="003872C2" w:rsidRDefault="003872C2" w:rsidP="003872C2">
      <w:pPr>
        <w:pStyle w:val="Prrafodelista"/>
        <w:numPr>
          <w:ilvl w:val="0"/>
          <w:numId w:val="14"/>
        </w:numPr>
        <w:spacing w:line="228" w:lineRule="auto"/>
        <w:ind w:left="426" w:right="141" w:hanging="426"/>
        <w:rPr>
          <w:rFonts w:ascii="Georgia" w:eastAsia="Times New Roman" w:hAnsi="Georgia" w:cs="Arial"/>
          <w:b/>
          <w:szCs w:val="20"/>
          <w:lang w:val="es-ES" w:eastAsia="es-ES"/>
        </w:rPr>
      </w:pPr>
      <w:r w:rsidRPr="003872C2">
        <w:rPr>
          <w:rFonts w:ascii="Georgia" w:eastAsia="Times New Roman" w:hAnsi="Georgia" w:cs="Arial"/>
          <w:b/>
          <w:szCs w:val="20"/>
          <w:lang w:val="es-ES" w:eastAsia="es-ES"/>
        </w:rPr>
        <w:t>Toda enfermedad distinta al cáncer.</w:t>
      </w:r>
    </w:p>
    <w:p w14:paraId="7F124A87" w14:textId="77777777" w:rsidR="003872C2" w:rsidRPr="003872C2" w:rsidRDefault="003872C2" w:rsidP="003872C2">
      <w:pPr>
        <w:pStyle w:val="Prrafodelista"/>
        <w:numPr>
          <w:ilvl w:val="0"/>
          <w:numId w:val="14"/>
        </w:numPr>
        <w:spacing w:line="228" w:lineRule="auto"/>
        <w:ind w:left="426" w:right="141" w:hanging="426"/>
        <w:rPr>
          <w:rFonts w:ascii="Georgia" w:eastAsia="Times New Roman" w:hAnsi="Georgia" w:cs="Arial"/>
          <w:b/>
          <w:szCs w:val="20"/>
          <w:lang w:val="es-ES" w:eastAsia="es-ES"/>
        </w:rPr>
      </w:pPr>
      <w:r w:rsidRPr="003872C2">
        <w:rPr>
          <w:rFonts w:ascii="Georgia" w:eastAsia="Times New Roman" w:hAnsi="Georgia" w:cs="Arial"/>
          <w:b/>
          <w:szCs w:val="20"/>
          <w:lang w:val="es-ES" w:eastAsia="es-ES"/>
        </w:rPr>
        <w:t>Todo cáncer cuyo “diagnóstico clínico” se haya iniciado con anterioridad a la contratación de la Póliza o durante el periodo de carencia.</w:t>
      </w:r>
    </w:p>
    <w:p w14:paraId="7BC2220A" w14:textId="77777777" w:rsidR="003872C2" w:rsidRPr="003872C2" w:rsidRDefault="003872C2" w:rsidP="003872C2">
      <w:pPr>
        <w:pStyle w:val="Prrafodelista"/>
        <w:numPr>
          <w:ilvl w:val="0"/>
          <w:numId w:val="14"/>
        </w:numPr>
        <w:spacing w:line="228" w:lineRule="auto"/>
        <w:ind w:left="426" w:right="141" w:hanging="426"/>
        <w:rPr>
          <w:rFonts w:ascii="Georgia" w:eastAsia="Times New Roman" w:hAnsi="Georgia" w:cs="Arial"/>
          <w:b/>
          <w:szCs w:val="20"/>
          <w:lang w:val="es-ES" w:eastAsia="es-ES"/>
        </w:rPr>
      </w:pPr>
      <w:r w:rsidRPr="003872C2">
        <w:rPr>
          <w:rFonts w:ascii="Georgia" w:eastAsia="Times New Roman" w:hAnsi="Georgia" w:cs="Arial"/>
          <w:b/>
          <w:szCs w:val="20"/>
          <w:lang w:val="es-ES" w:eastAsia="es-ES"/>
        </w:rPr>
        <w:t>Cualquier diagnóstico de cáncer que no sea realizado por un médico legalmente habilitado para ejercer la profesión.</w:t>
      </w:r>
    </w:p>
    <w:p w14:paraId="61A0C35B" w14:textId="77777777" w:rsidR="00DB5ACA" w:rsidRPr="003872C2" w:rsidRDefault="003872C2" w:rsidP="003872C2">
      <w:pPr>
        <w:pStyle w:val="Prrafodelista"/>
        <w:numPr>
          <w:ilvl w:val="0"/>
          <w:numId w:val="14"/>
        </w:numPr>
        <w:spacing w:line="228" w:lineRule="auto"/>
        <w:ind w:left="426" w:right="141" w:hanging="426"/>
        <w:rPr>
          <w:rFonts w:ascii="Georgia" w:eastAsia="Times New Roman" w:hAnsi="Georgia" w:cs="Arial"/>
          <w:b/>
          <w:szCs w:val="20"/>
          <w:lang w:val="es-ES" w:eastAsia="es-ES"/>
        </w:rPr>
      </w:pPr>
      <w:r w:rsidRPr="003872C2">
        <w:rPr>
          <w:rFonts w:ascii="Georgia" w:eastAsia="Times New Roman" w:hAnsi="Georgia" w:cs="Arial"/>
          <w:b/>
          <w:szCs w:val="20"/>
          <w:lang w:val="es-ES" w:eastAsia="es-ES"/>
        </w:rPr>
        <w:t>Preexistencia, entendida esta como aquella condición de salud diagnosticada por un médico colegiado, antes de la contratación del seguro, de conocimiento de EL ASEGURADO, y no resuelta en el momento previo a la suscripción del contrato.</w:t>
      </w:r>
    </w:p>
    <w:p w14:paraId="6F735F49" w14:textId="77777777" w:rsidR="003872C2" w:rsidRPr="00795D4B" w:rsidRDefault="003872C2" w:rsidP="003872C2">
      <w:pPr>
        <w:spacing w:line="228" w:lineRule="auto"/>
        <w:ind w:right="141"/>
        <w:rPr>
          <w:rFonts w:ascii="Georgia" w:eastAsia="Times New Roman" w:hAnsi="Georgia" w:cs="Arial"/>
          <w:b/>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B5ACA" w:rsidRPr="0061753C" w14:paraId="0CBB19FE" w14:textId="77777777" w:rsidTr="00A7086F">
        <w:tc>
          <w:tcPr>
            <w:tcW w:w="9214" w:type="dxa"/>
            <w:shd w:val="clear" w:color="auto" w:fill="01C1D6"/>
          </w:tcPr>
          <w:p w14:paraId="381B5C92" w14:textId="77777777" w:rsidR="00DB5ACA" w:rsidRPr="0061753C" w:rsidRDefault="003872C2" w:rsidP="00A7086F">
            <w:pPr>
              <w:spacing w:line="228" w:lineRule="auto"/>
              <w:ind w:right="164"/>
              <w:rPr>
                <w:rFonts w:ascii="Georgia" w:hAnsi="Georgia" w:cs="Arial"/>
                <w:b/>
                <w:color w:val="FFFFFF"/>
              </w:rPr>
            </w:pPr>
            <w:r>
              <w:rPr>
                <w:rFonts w:ascii="Georgia" w:hAnsi="Georgia" w:cs="Arial"/>
                <w:b/>
                <w:color w:val="FFFFFF"/>
              </w:rPr>
              <w:t>Artículo 6</w:t>
            </w:r>
            <w:r w:rsidR="00DB5ACA" w:rsidRPr="0061753C">
              <w:rPr>
                <w:rFonts w:ascii="Georgia" w:hAnsi="Georgia" w:cs="Arial"/>
                <w:b/>
                <w:color w:val="FFFFFF"/>
              </w:rPr>
              <w:t xml:space="preserve">°     </w:t>
            </w:r>
            <w:r w:rsidR="00DB5ACA">
              <w:rPr>
                <w:rFonts w:ascii="Georgia" w:hAnsi="Georgia" w:cs="Arial"/>
                <w:b/>
                <w:color w:val="FFFFFF"/>
              </w:rPr>
              <w:t>Terminación de la Cláusula Adicional</w:t>
            </w:r>
          </w:p>
        </w:tc>
      </w:tr>
    </w:tbl>
    <w:p w14:paraId="00E0EDA9" w14:textId="77777777" w:rsidR="00DB5ACA" w:rsidRPr="00795D4B" w:rsidRDefault="00DB5ACA" w:rsidP="00DB5ACA">
      <w:pPr>
        <w:spacing w:line="228" w:lineRule="auto"/>
        <w:ind w:right="141"/>
        <w:rPr>
          <w:rFonts w:ascii="Georgia" w:eastAsia="Times New Roman" w:hAnsi="Georgia" w:cs="Arial"/>
          <w:b/>
          <w:szCs w:val="20"/>
          <w:lang w:val="es-ES" w:eastAsia="es-ES"/>
        </w:rPr>
      </w:pPr>
    </w:p>
    <w:p w14:paraId="500A0B57" w14:textId="77777777" w:rsidR="007349FE" w:rsidRDefault="003872C2" w:rsidP="00DB5ACA">
      <w:pPr>
        <w:spacing w:line="228" w:lineRule="auto"/>
        <w:ind w:right="141"/>
        <w:rPr>
          <w:rFonts w:ascii="Georgia" w:eastAsia="Times New Roman" w:hAnsi="Georgia" w:cs="Arial"/>
          <w:szCs w:val="20"/>
          <w:lang w:val="es-ES" w:eastAsia="es-ES"/>
        </w:rPr>
      </w:pPr>
      <w:r w:rsidRPr="003872C2">
        <w:rPr>
          <w:rFonts w:ascii="Georgia" w:eastAsia="Times New Roman" w:hAnsi="Georgia" w:cs="Arial"/>
          <w:szCs w:val="20"/>
          <w:lang w:val="es-ES" w:eastAsia="es-ES"/>
        </w:rPr>
        <w:t>Le serán aplicables las causales de terminación indicadas en el Condicionado General de la Póliza, o cuando se haga efectiva la indemnización que cubre la misma.</w:t>
      </w:r>
    </w:p>
    <w:p w14:paraId="2C61E31F" w14:textId="77777777" w:rsidR="003872C2" w:rsidRDefault="003872C2" w:rsidP="00DB5ACA">
      <w:pPr>
        <w:spacing w:line="228" w:lineRule="auto"/>
        <w:ind w:right="141"/>
        <w:rPr>
          <w:rFonts w:ascii="Georgia" w:hAnsi="Georgia"/>
          <w:szCs w:val="20"/>
          <w:lang w:val="es-ES_tradn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B5ACA" w:rsidRPr="0061753C" w14:paraId="021D079D" w14:textId="77777777" w:rsidTr="00A7086F">
        <w:tc>
          <w:tcPr>
            <w:tcW w:w="9214" w:type="dxa"/>
            <w:shd w:val="clear" w:color="auto" w:fill="01C1D6"/>
          </w:tcPr>
          <w:p w14:paraId="4252EB63" w14:textId="77777777" w:rsidR="00DB5ACA" w:rsidRPr="0061753C" w:rsidRDefault="003872C2" w:rsidP="00A7086F">
            <w:pPr>
              <w:spacing w:line="228" w:lineRule="auto"/>
              <w:ind w:right="164"/>
              <w:rPr>
                <w:rFonts w:ascii="Georgia" w:hAnsi="Georgia" w:cs="Arial"/>
                <w:b/>
                <w:color w:val="FFFFFF"/>
              </w:rPr>
            </w:pPr>
            <w:r>
              <w:rPr>
                <w:rFonts w:ascii="Georgia" w:hAnsi="Georgia" w:cs="Arial"/>
                <w:b/>
                <w:color w:val="FFFFFF"/>
              </w:rPr>
              <w:t>Artículo 7</w:t>
            </w:r>
            <w:r w:rsidR="00DB5ACA" w:rsidRPr="0061753C">
              <w:rPr>
                <w:rFonts w:ascii="Georgia" w:hAnsi="Georgia" w:cs="Arial"/>
                <w:b/>
                <w:color w:val="FFFFFF"/>
              </w:rPr>
              <w:t xml:space="preserve">°     </w:t>
            </w:r>
            <w:r w:rsidR="00DB5ACA">
              <w:rPr>
                <w:rFonts w:ascii="Georgia" w:hAnsi="Georgia" w:cs="Arial"/>
                <w:b/>
                <w:color w:val="FFFFFF"/>
              </w:rPr>
              <w:t>Beneficiarios</w:t>
            </w:r>
          </w:p>
        </w:tc>
      </w:tr>
    </w:tbl>
    <w:p w14:paraId="2EB9D2ED" w14:textId="77777777" w:rsidR="00DB5ACA" w:rsidRPr="00795D4B" w:rsidRDefault="00DB5ACA" w:rsidP="00DB5ACA">
      <w:pPr>
        <w:spacing w:line="228" w:lineRule="auto"/>
        <w:ind w:right="141"/>
        <w:rPr>
          <w:rFonts w:ascii="Georgia" w:eastAsia="Times New Roman" w:hAnsi="Georgia" w:cs="Arial"/>
          <w:b/>
          <w:szCs w:val="20"/>
          <w:lang w:val="es-ES" w:eastAsia="es-ES"/>
        </w:rPr>
      </w:pPr>
    </w:p>
    <w:p w14:paraId="29DD8D1E" w14:textId="77777777" w:rsidR="00DB5ACA" w:rsidRDefault="003872C2" w:rsidP="00DB5ACA">
      <w:pPr>
        <w:spacing w:line="228" w:lineRule="auto"/>
        <w:ind w:right="141"/>
        <w:rPr>
          <w:rFonts w:ascii="Georgia" w:eastAsia="Times New Roman" w:hAnsi="Georgia" w:cs="Arial"/>
          <w:szCs w:val="20"/>
          <w:lang w:val="es-ES" w:eastAsia="es-ES"/>
        </w:rPr>
      </w:pPr>
      <w:r w:rsidRPr="003872C2">
        <w:rPr>
          <w:rFonts w:ascii="Georgia" w:eastAsia="Times New Roman" w:hAnsi="Georgia" w:cs="Arial"/>
          <w:szCs w:val="20"/>
          <w:lang w:val="es-ES" w:eastAsia="es-ES"/>
        </w:rPr>
        <w:t>Serán beneficiarios de este seguro los mismos ASEGURADOS que reciban un Diagnóstico Clínico de Cáncer Primario. En caso de fallecimiento del ASEGURADO antes de pagada la indemnización correspondiente, los Beneficiarios serán los Herederos Legales o Testamentarios de éste, según corresponda.</w:t>
      </w:r>
    </w:p>
    <w:p w14:paraId="337B7929" w14:textId="77777777" w:rsidR="003872C2" w:rsidRDefault="003872C2" w:rsidP="00DB5ACA">
      <w:pPr>
        <w:spacing w:line="228" w:lineRule="auto"/>
        <w:ind w:right="141"/>
        <w:rPr>
          <w:rFonts w:ascii="Georgia" w:hAnsi="Georgia"/>
          <w:szCs w:val="20"/>
          <w:lang w:val="es-ES_tradn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B5ACA" w:rsidRPr="0061753C" w14:paraId="1F3DD722" w14:textId="77777777" w:rsidTr="00A7086F">
        <w:tc>
          <w:tcPr>
            <w:tcW w:w="9214" w:type="dxa"/>
            <w:shd w:val="clear" w:color="auto" w:fill="01C1D6"/>
          </w:tcPr>
          <w:p w14:paraId="22E3FBC1" w14:textId="77777777" w:rsidR="00DB5ACA" w:rsidRPr="0061753C" w:rsidRDefault="003872C2" w:rsidP="00A7086F">
            <w:pPr>
              <w:spacing w:line="228" w:lineRule="auto"/>
              <w:ind w:right="164"/>
              <w:rPr>
                <w:rFonts w:ascii="Georgia" w:hAnsi="Georgia" w:cs="Arial"/>
                <w:b/>
                <w:color w:val="FFFFFF"/>
              </w:rPr>
            </w:pPr>
            <w:r>
              <w:rPr>
                <w:rFonts w:ascii="Georgia" w:hAnsi="Georgia" w:cs="Arial"/>
                <w:b/>
                <w:color w:val="FFFFFF"/>
              </w:rPr>
              <w:t>Artículo 8</w:t>
            </w:r>
            <w:r w:rsidR="00DB5ACA" w:rsidRPr="0061753C">
              <w:rPr>
                <w:rFonts w:ascii="Georgia" w:hAnsi="Georgia" w:cs="Arial"/>
                <w:b/>
                <w:color w:val="FFFFFF"/>
              </w:rPr>
              <w:t xml:space="preserve">°     </w:t>
            </w:r>
            <w:r w:rsidR="00DB5ACA">
              <w:rPr>
                <w:rFonts w:ascii="Georgia" w:hAnsi="Georgia" w:cs="Arial"/>
                <w:b/>
                <w:color w:val="FFFFFF"/>
              </w:rPr>
              <w:t>Aviso del Siniestro y Procedimiento para Solicitar la Cobertura</w:t>
            </w:r>
          </w:p>
        </w:tc>
      </w:tr>
    </w:tbl>
    <w:p w14:paraId="2272F9C9" w14:textId="77777777" w:rsidR="00DB5ACA" w:rsidRPr="00795D4B" w:rsidRDefault="00DB5ACA" w:rsidP="00DB5ACA">
      <w:pPr>
        <w:spacing w:line="228" w:lineRule="auto"/>
        <w:ind w:right="141"/>
        <w:rPr>
          <w:rFonts w:ascii="Georgia" w:eastAsia="Times New Roman" w:hAnsi="Georgia" w:cs="Arial"/>
          <w:b/>
          <w:szCs w:val="20"/>
          <w:lang w:val="es-ES" w:eastAsia="es-ES"/>
        </w:rPr>
      </w:pPr>
    </w:p>
    <w:p w14:paraId="2FE563F8" w14:textId="77777777" w:rsidR="003872C2" w:rsidRPr="003872C2" w:rsidRDefault="003872C2" w:rsidP="003872C2">
      <w:pPr>
        <w:rPr>
          <w:rFonts w:ascii="Georgia" w:eastAsia="Times New Roman" w:hAnsi="Georgia" w:cs="Arial"/>
          <w:b/>
          <w:szCs w:val="20"/>
          <w:lang w:val="es-ES" w:eastAsia="es-ES"/>
        </w:rPr>
      </w:pPr>
      <w:r w:rsidRPr="003872C2">
        <w:rPr>
          <w:rFonts w:ascii="Georgia" w:eastAsia="Times New Roman" w:hAnsi="Georgia" w:cs="Arial"/>
          <w:b/>
          <w:szCs w:val="20"/>
          <w:lang w:val="es-ES" w:eastAsia="es-ES"/>
        </w:rPr>
        <w:t>Si ocurriera un evento que diera lugar al pago de indemnización bajo esta Cláusula Adicional, el ASEGURADO deberá cumplir con lo siguiente:</w:t>
      </w:r>
    </w:p>
    <w:p w14:paraId="0E38F3AB" w14:textId="77777777" w:rsidR="003872C2" w:rsidRPr="003872C2" w:rsidRDefault="003872C2" w:rsidP="003872C2">
      <w:pPr>
        <w:rPr>
          <w:rFonts w:ascii="Georgia" w:eastAsia="Times New Roman" w:hAnsi="Georgia" w:cs="Arial"/>
          <w:b/>
          <w:szCs w:val="20"/>
          <w:lang w:val="es-ES" w:eastAsia="es-ES"/>
        </w:rPr>
      </w:pPr>
    </w:p>
    <w:p w14:paraId="39E8A10B" w14:textId="77777777" w:rsidR="003872C2" w:rsidRPr="003872C2" w:rsidRDefault="003872C2" w:rsidP="003872C2">
      <w:pPr>
        <w:rPr>
          <w:rFonts w:ascii="Georgia" w:eastAsia="Times New Roman" w:hAnsi="Georgia" w:cs="Arial"/>
          <w:b/>
          <w:szCs w:val="20"/>
          <w:lang w:val="es-ES" w:eastAsia="es-ES"/>
        </w:rPr>
      </w:pPr>
      <w:r w:rsidRPr="003872C2">
        <w:rPr>
          <w:rFonts w:ascii="Georgia" w:eastAsia="Times New Roman" w:hAnsi="Georgia" w:cs="Arial"/>
          <w:b/>
          <w:szCs w:val="20"/>
          <w:u w:val="single"/>
          <w:lang w:val="es-ES" w:eastAsia="es-ES"/>
        </w:rPr>
        <w:t>Aviso de Siniestro:</w:t>
      </w:r>
      <w:r w:rsidRPr="003872C2">
        <w:rPr>
          <w:rFonts w:ascii="Georgia" w:eastAsia="Times New Roman" w:hAnsi="Georgia" w:cs="Arial"/>
          <w:b/>
          <w:szCs w:val="20"/>
          <w:lang w:val="es-ES" w:eastAsia="es-ES"/>
        </w:rPr>
        <w:t xml:space="preserve"> Dar aviso por cualquiera de los medios de comunicación pactados a la COMPAÑÍA de la ocurrencia del siniestro, en un plazo no mayor a treinta (30) días calendarios luego de ocurrido el suceso o de conocido el beneficio, o después de dicho plazo, tan pronto como sea posible, siempre y cuando el retraso obedezca a motivos de fuerza mayor, caso fortuito o imposibilidad de hecho.</w:t>
      </w:r>
    </w:p>
    <w:p w14:paraId="2C76E622" w14:textId="77777777" w:rsidR="003872C2" w:rsidRPr="003872C2" w:rsidRDefault="003872C2" w:rsidP="003872C2">
      <w:pPr>
        <w:rPr>
          <w:rFonts w:ascii="Georgia" w:eastAsia="Times New Roman" w:hAnsi="Georgia" w:cs="Arial"/>
          <w:b/>
          <w:szCs w:val="20"/>
          <w:lang w:val="es-ES" w:eastAsia="es-ES"/>
        </w:rPr>
      </w:pPr>
    </w:p>
    <w:p w14:paraId="68677699" w14:textId="77777777" w:rsidR="003872C2" w:rsidRPr="003872C2" w:rsidRDefault="003872C2" w:rsidP="003872C2">
      <w:pPr>
        <w:rPr>
          <w:rFonts w:ascii="Georgia" w:eastAsia="Times New Roman" w:hAnsi="Georgia" w:cs="Arial"/>
          <w:b/>
          <w:szCs w:val="20"/>
          <w:lang w:val="es-ES" w:eastAsia="es-ES"/>
        </w:rPr>
      </w:pPr>
      <w:r w:rsidRPr="003872C2">
        <w:rPr>
          <w:rFonts w:ascii="Georgia" w:eastAsia="Times New Roman" w:hAnsi="Georgia" w:cs="Arial"/>
          <w:b/>
          <w:szCs w:val="20"/>
          <w:u w:val="single"/>
          <w:lang w:val="es-ES" w:eastAsia="es-ES"/>
        </w:rPr>
        <w:t>Documentos:</w:t>
      </w:r>
      <w:r w:rsidRPr="003872C2">
        <w:rPr>
          <w:rFonts w:ascii="Georgia" w:eastAsia="Times New Roman" w:hAnsi="Georgia" w:cs="Arial"/>
          <w:b/>
          <w:szCs w:val="20"/>
          <w:lang w:val="es-ES" w:eastAsia="es-ES"/>
        </w:rPr>
        <w:t xml:space="preserve"> Posteriormente, para la Solicitud de Cobertura, el ASEGURADO, deberá presentar en las oficinas de la COMPAÑÍA o el Comercializador los siguientes documentos (en original o certificación de reproducción notarial - antes copia legalizada). El ASEGURADO podrá presentar los documentos en cualquier momento, sin plazo límite específico, pero antes del plazo de prescripción establecido por la normatividad vigente:</w:t>
      </w:r>
    </w:p>
    <w:p w14:paraId="643DBA06" w14:textId="77777777" w:rsidR="003872C2" w:rsidRPr="003872C2" w:rsidRDefault="003872C2" w:rsidP="003872C2">
      <w:pPr>
        <w:rPr>
          <w:rFonts w:ascii="Georgia" w:eastAsia="Times New Roman" w:hAnsi="Georgia" w:cs="Arial"/>
          <w:b/>
          <w:szCs w:val="20"/>
          <w:lang w:val="es-ES" w:eastAsia="es-ES"/>
        </w:rPr>
      </w:pPr>
    </w:p>
    <w:p w14:paraId="2F166E58" w14:textId="77777777" w:rsidR="003872C2" w:rsidRPr="003872C2" w:rsidRDefault="003872C2" w:rsidP="003872C2">
      <w:pPr>
        <w:pStyle w:val="Prrafodelista"/>
        <w:numPr>
          <w:ilvl w:val="0"/>
          <w:numId w:val="16"/>
        </w:numPr>
        <w:ind w:left="426" w:hanging="426"/>
        <w:rPr>
          <w:rFonts w:ascii="Georgia" w:eastAsia="Times New Roman" w:hAnsi="Georgia" w:cs="Arial"/>
          <w:b/>
          <w:szCs w:val="20"/>
          <w:lang w:val="es-ES" w:eastAsia="es-ES"/>
        </w:rPr>
      </w:pPr>
      <w:r w:rsidRPr="003872C2">
        <w:rPr>
          <w:rFonts w:ascii="Georgia" w:eastAsia="Times New Roman" w:hAnsi="Georgia" w:cs="Arial"/>
          <w:b/>
          <w:szCs w:val="20"/>
          <w:lang w:val="es-ES" w:eastAsia="es-ES"/>
        </w:rPr>
        <w:t>Documento de Identidad del ASEGURADO,</w:t>
      </w:r>
    </w:p>
    <w:p w14:paraId="0A93EA9B" w14:textId="77777777" w:rsidR="003872C2" w:rsidRPr="003872C2" w:rsidRDefault="003872C2" w:rsidP="003872C2">
      <w:pPr>
        <w:pStyle w:val="Prrafodelista"/>
        <w:numPr>
          <w:ilvl w:val="0"/>
          <w:numId w:val="16"/>
        </w:numPr>
        <w:ind w:left="426" w:hanging="426"/>
        <w:rPr>
          <w:rFonts w:ascii="Georgia" w:eastAsia="Times New Roman" w:hAnsi="Georgia" w:cs="Arial"/>
          <w:b/>
          <w:szCs w:val="20"/>
          <w:lang w:val="es-ES" w:eastAsia="es-ES"/>
        </w:rPr>
      </w:pPr>
      <w:r w:rsidRPr="003872C2">
        <w:rPr>
          <w:rFonts w:ascii="Georgia" w:eastAsia="Times New Roman" w:hAnsi="Georgia" w:cs="Arial"/>
          <w:b/>
          <w:szCs w:val="20"/>
          <w:lang w:val="es-ES" w:eastAsia="es-ES"/>
        </w:rPr>
        <w:t>El Diagnóstico Clínico, debidamente suscrito por el médico tratante,</w:t>
      </w:r>
    </w:p>
    <w:p w14:paraId="679BFE78" w14:textId="77777777" w:rsidR="003872C2" w:rsidRPr="003872C2" w:rsidRDefault="003872C2" w:rsidP="003872C2">
      <w:pPr>
        <w:pStyle w:val="Prrafodelista"/>
        <w:numPr>
          <w:ilvl w:val="0"/>
          <w:numId w:val="16"/>
        </w:numPr>
        <w:ind w:left="426" w:hanging="426"/>
        <w:rPr>
          <w:rFonts w:ascii="Georgia" w:eastAsia="Times New Roman" w:hAnsi="Georgia" w:cs="Arial"/>
          <w:b/>
          <w:szCs w:val="20"/>
          <w:lang w:val="es-ES" w:eastAsia="es-ES"/>
        </w:rPr>
      </w:pPr>
      <w:r w:rsidRPr="003872C2">
        <w:rPr>
          <w:rFonts w:ascii="Georgia" w:eastAsia="Times New Roman" w:hAnsi="Georgia" w:cs="Arial"/>
          <w:b/>
          <w:szCs w:val="20"/>
          <w:lang w:val="es-ES" w:eastAsia="es-ES"/>
        </w:rPr>
        <w:t>Examen de Anatomía Patológica,</w:t>
      </w:r>
    </w:p>
    <w:p w14:paraId="667E2A57" w14:textId="77777777" w:rsidR="003872C2" w:rsidRPr="003872C2" w:rsidRDefault="003872C2" w:rsidP="003872C2">
      <w:pPr>
        <w:pStyle w:val="Prrafodelista"/>
        <w:numPr>
          <w:ilvl w:val="0"/>
          <w:numId w:val="16"/>
        </w:numPr>
        <w:ind w:left="426" w:hanging="426"/>
        <w:rPr>
          <w:rFonts w:ascii="Georgia" w:eastAsia="Times New Roman" w:hAnsi="Georgia" w:cs="Arial"/>
          <w:b/>
          <w:szCs w:val="20"/>
          <w:lang w:val="es-ES" w:eastAsia="es-ES"/>
        </w:rPr>
      </w:pPr>
      <w:r w:rsidRPr="003872C2">
        <w:rPr>
          <w:rFonts w:ascii="Georgia" w:eastAsia="Times New Roman" w:hAnsi="Georgia" w:cs="Arial"/>
          <w:b/>
          <w:szCs w:val="20"/>
          <w:lang w:val="es-ES" w:eastAsia="es-ES"/>
        </w:rPr>
        <w:lastRenderedPageBreak/>
        <w:t xml:space="preserve">Copia literal de la inscripción definitiva de la Sucesión Intestada o Testamento, expedido por la Superintendencia Nacional de los Registros Públicos, que designe a los Beneficiarios, Herederos Legales o Testamentarios, cuando corresponda. </w:t>
      </w:r>
    </w:p>
    <w:p w14:paraId="112B4943" w14:textId="77777777" w:rsidR="003872C2" w:rsidRPr="003872C2" w:rsidRDefault="003872C2" w:rsidP="003872C2">
      <w:pPr>
        <w:rPr>
          <w:rFonts w:ascii="Georgia" w:eastAsia="Times New Roman" w:hAnsi="Georgia" w:cs="Arial"/>
          <w:b/>
          <w:szCs w:val="20"/>
          <w:lang w:val="es-ES" w:eastAsia="es-ES"/>
        </w:rPr>
      </w:pPr>
    </w:p>
    <w:p w14:paraId="44A65A45" w14:textId="77777777" w:rsidR="00DB5ACA" w:rsidRPr="007349FE" w:rsidRDefault="003872C2" w:rsidP="003872C2">
      <w:pPr>
        <w:rPr>
          <w:rFonts w:ascii="Georgia" w:eastAsia="Times New Roman" w:hAnsi="Georgia" w:cs="Arial"/>
          <w:b/>
          <w:szCs w:val="20"/>
          <w:lang w:val="es-ES" w:eastAsia="es-ES"/>
        </w:rPr>
      </w:pPr>
      <w:r w:rsidRPr="003872C2">
        <w:rPr>
          <w:rFonts w:ascii="Georgia" w:eastAsia="Times New Roman" w:hAnsi="Georgia" w:cs="Arial"/>
          <w:b/>
          <w:szCs w:val="20"/>
          <w:lang w:val="es-ES" w:eastAsia="es-ES"/>
        </w:rPr>
        <w:t xml:space="preserve">La COMPAÑÍA tendrá siempre el derecho de solicitar cualquier otro antecedente o documento relacionado al siniestro que estime necesario para realizar las aclaraciones o precisiones adicionales necesarias para la calificación </w:t>
      </w:r>
      <w:proofErr w:type="gramStart"/>
      <w:r w:rsidRPr="003872C2">
        <w:rPr>
          <w:rFonts w:ascii="Georgia" w:eastAsia="Times New Roman" w:hAnsi="Georgia" w:cs="Arial"/>
          <w:b/>
          <w:szCs w:val="20"/>
          <w:lang w:val="es-ES" w:eastAsia="es-ES"/>
        </w:rPr>
        <w:t>del mismo</w:t>
      </w:r>
      <w:proofErr w:type="gramEnd"/>
      <w:r w:rsidRPr="003872C2">
        <w:rPr>
          <w:rFonts w:ascii="Georgia" w:eastAsia="Times New Roman" w:hAnsi="Georgia" w:cs="Arial"/>
          <w:b/>
          <w:szCs w:val="20"/>
          <w:lang w:val="es-ES" w:eastAsia="es-ES"/>
        </w:rPr>
        <w:t>, dentro de los veinte (20) días de los treinta (30) días que tiene para la liquidación del mismo.</w:t>
      </w:r>
    </w:p>
    <w:sectPr w:rsidR="00DB5ACA" w:rsidRPr="007349FE" w:rsidSect="009518BB">
      <w:pgSz w:w="12240" w:h="15840" w:code="1"/>
      <w:pgMar w:top="2127" w:right="1325" w:bottom="1134" w:left="1560"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5DE"/>
    <w:multiLevelType w:val="hybridMultilevel"/>
    <w:tmpl w:val="D07EE85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AB7736"/>
    <w:multiLevelType w:val="hybridMultilevel"/>
    <w:tmpl w:val="93F475E4"/>
    <w:lvl w:ilvl="0" w:tplc="0F9080D2">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DB91C15"/>
    <w:multiLevelType w:val="hybridMultilevel"/>
    <w:tmpl w:val="DEBC6896"/>
    <w:lvl w:ilvl="0" w:tplc="0409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104C617F"/>
    <w:multiLevelType w:val="hybridMultilevel"/>
    <w:tmpl w:val="2ECE2190"/>
    <w:lvl w:ilvl="0" w:tplc="0409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189A0866"/>
    <w:multiLevelType w:val="hybridMultilevel"/>
    <w:tmpl w:val="127CA5DA"/>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923110F"/>
    <w:multiLevelType w:val="hybridMultilevel"/>
    <w:tmpl w:val="606EB36A"/>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20337487"/>
    <w:multiLevelType w:val="hybridMultilevel"/>
    <w:tmpl w:val="FEA81640"/>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225C5EA7"/>
    <w:multiLevelType w:val="hybridMultilevel"/>
    <w:tmpl w:val="07885EDE"/>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2E0A73FD"/>
    <w:multiLevelType w:val="hybridMultilevel"/>
    <w:tmpl w:val="0F8A8748"/>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4C9714AE"/>
    <w:multiLevelType w:val="hybridMultilevel"/>
    <w:tmpl w:val="24E00A8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587A007B"/>
    <w:multiLevelType w:val="hybridMultilevel"/>
    <w:tmpl w:val="527CD77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66B86640"/>
    <w:multiLevelType w:val="hybridMultilevel"/>
    <w:tmpl w:val="CF2C894A"/>
    <w:lvl w:ilvl="0" w:tplc="04090017">
      <w:start w:val="1"/>
      <w:numFmt w:val="lowerLetter"/>
      <w:lvlText w:val="%1)"/>
      <w:lvlJc w:val="left"/>
      <w:pPr>
        <w:tabs>
          <w:tab w:val="num" w:pos="599"/>
        </w:tabs>
        <w:ind w:left="599" w:hanging="360"/>
      </w:pPr>
    </w:lvl>
    <w:lvl w:ilvl="1" w:tplc="04090019" w:tentative="1">
      <w:start w:val="1"/>
      <w:numFmt w:val="lowerLetter"/>
      <w:lvlText w:val="%2."/>
      <w:lvlJc w:val="left"/>
      <w:pPr>
        <w:tabs>
          <w:tab w:val="num" w:pos="1319"/>
        </w:tabs>
        <w:ind w:left="1319" w:hanging="360"/>
      </w:pPr>
    </w:lvl>
    <w:lvl w:ilvl="2" w:tplc="0409001B" w:tentative="1">
      <w:start w:val="1"/>
      <w:numFmt w:val="lowerRoman"/>
      <w:lvlText w:val="%3."/>
      <w:lvlJc w:val="right"/>
      <w:pPr>
        <w:tabs>
          <w:tab w:val="num" w:pos="2039"/>
        </w:tabs>
        <w:ind w:left="2039" w:hanging="180"/>
      </w:pPr>
    </w:lvl>
    <w:lvl w:ilvl="3" w:tplc="0409000F" w:tentative="1">
      <w:start w:val="1"/>
      <w:numFmt w:val="decimal"/>
      <w:lvlText w:val="%4."/>
      <w:lvlJc w:val="left"/>
      <w:pPr>
        <w:tabs>
          <w:tab w:val="num" w:pos="2759"/>
        </w:tabs>
        <w:ind w:left="2759" w:hanging="360"/>
      </w:pPr>
    </w:lvl>
    <w:lvl w:ilvl="4" w:tplc="04090019" w:tentative="1">
      <w:start w:val="1"/>
      <w:numFmt w:val="lowerLetter"/>
      <w:lvlText w:val="%5."/>
      <w:lvlJc w:val="left"/>
      <w:pPr>
        <w:tabs>
          <w:tab w:val="num" w:pos="3479"/>
        </w:tabs>
        <w:ind w:left="3479" w:hanging="360"/>
      </w:pPr>
    </w:lvl>
    <w:lvl w:ilvl="5" w:tplc="0409001B" w:tentative="1">
      <w:start w:val="1"/>
      <w:numFmt w:val="lowerRoman"/>
      <w:lvlText w:val="%6."/>
      <w:lvlJc w:val="right"/>
      <w:pPr>
        <w:tabs>
          <w:tab w:val="num" w:pos="4199"/>
        </w:tabs>
        <w:ind w:left="4199" w:hanging="180"/>
      </w:pPr>
    </w:lvl>
    <w:lvl w:ilvl="6" w:tplc="0409000F" w:tentative="1">
      <w:start w:val="1"/>
      <w:numFmt w:val="decimal"/>
      <w:lvlText w:val="%7."/>
      <w:lvlJc w:val="left"/>
      <w:pPr>
        <w:tabs>
          <w:tab w:val="num" w:pos="4919"/>
        </w:tabs>
        <w:ind w:left="4919" w:hanging="360"/>
      </w:pPr>
    </w:lvl>
    <w:lvl w:ilvl="7" w:tplc="04090019" w:tentative="1">
      <w:start w:val="1"/>
      <w:numFmt w:val="lowerLetter"/>
      <w:lvlText w:val="%8."/>
      <w:lvlJc w:val="left"/>
      <w:pPr>
        <w:tabs>
          <w:tab w:val="num" w:pos="5639"/>
        </w:tabs>
        <w:ind w:left="5639" w:hanging="360"/>
      </w:pPr>
    </w:lvl>
    <w:lvl w:ilvl="8" w:tplc="0409001B" w:tentative="1">
      <w:start w:val="1"/>
      <w:numFmt w:val="lowerRoman"/>
      <w:lvlText w:val="%9."/>
      <w:lvlJc w:val="right"/>
      <w:pPr>
        <w:tabs>
          <w:tab w:val="num" w:pos="6359"/>
        </w:tabs>
        <w:ind w:left="6359" w:hanging="180"/>
      </w:pPr>
    </w:lvl>
  </w:abstractNum>
  <w:abstractNum w:abstractNumId="12" w15:restartNumberingAfterBreak="0">
    <w:nsid w:val="6E062D2A"/>
    <w:multiLevelType w:val="hybridMultilevel"/>
    <w:tmpl w:val="D822437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74A52192"/>
    <w:multiLevelType w:val="hybridMultilevel"/>
    <w:tmpl w:val="0A9EAC1A"/>
    <w:lvl w:ilvl="0" w:tplc="1360C7A8">
      <w:start w:val="1"/>
      <w:numFmt w:val="lowerLetter"/>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76EC0557"/>
    <w:multiLevelType w:val="hybridMultilevel"/>
    <w:tmpl w:val="ED2C399C"/>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15:restartNumberingAfterBreak="0">
    <w:nsid w:val="78081D22"/>
    <w:multiLevelType w:val="hybridMultilevel"/>
    <w:tmpl w:val="AA4E208E"/>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7DA900A7"/>
    <w:multiLevelType w:val="hybridMultilevel"/>
    <w:tmpl w:val="86CA8F0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800950359">
    <w:abstractNumId w:val="0"/>
  </w:num>
  <w:num w:numId="2" w16cid:durableId="740954832">
    <w:abstractNumId w:val="11"/>
  </w:num>
  <w:num w:numId="3" w16cid:durableId="1222979029">
    <w:abstractNumId w:val="12"/>
  </w:num>
  <w:num w:numId="4" w16cid:durableId="1938907334">
    <w:abstractNumId w:val="3"/>
  </w:num>
  <w:num w:numId="5" w16cid:durableId="1836140919">
    <w:abstractNumId w:val="2"/>
  </w:num>
  <w:num w:numId="6" w16cid:durableId="1482574392">
    <w:abstractNumId w:val="13"/>
  </w:num>
  <w:num w:numId="7" w16cid:durableId="1819809632">
    <w:abstractNumId w:val="9"/>
  </w:num>
  <w:num w:numId="8" w16cid:durableId="1325014010">
    <w:abstractNumId w:val="10"/>
  </w:num>
  <w:num w:numId="9" w16cid:durableId="382599383">
    <w:abstractNumId w:val="5"/>
  </w:num>
  <w:num w:numId="10" w16cid:durableId="1178619162">
    <w:abstractNumId w:val="16"/>
  </w:num>
  <w:num w:numId="11" w16cid:durableId="2037153783">
    <w:abstractNumId w:val="1"/>
  </w:num>
  <w:num w:numId="12" w16cid:durableId="524565581">
    <w:abstractNumId w:val="15"/>
  </w:num>
  <w:num w:numId="13" w16cid:durableId="1861625637">
    <w:abstractNumId w:val="4"/>
  </w:num>
  <w:num w:numId="14" w16cid:durableId="2087532586">
    <w:abstractNumId w:val="7"/>
  </w:num>
  <w:num w:numId="15" w16cid:durableId="824273841">
    <w:abstractNumId w:val="14"/>
  </w:num>
  <w:num w:numId="16" w16cid:durableId="1622805761">
    <w:abstractNumId w:val="8"/>
  </w:num>
  <w:num w:numId="17" w16cid:durableId="4421907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675A"/>
    <w:rsid w:val="0001531A"/>
    <w:rsid w:val="001330AD"/>
    <w:rsid w:val="001F675D"/>
    <w:rsid w:val="002378BB"/>
    <w:rsid w:val="003872C2"/>
    <w:rsid w:val="004C0C79"/>
    <w:rsid w:val="004F56EA"/>
    <w:rsid w:val="005124C3"/>
    <w:rsid w:val="0055675A"/>
    <w:rsid w:val="006635ED"/>
    <w:rsid w:val="007349FE"/>
    <w:rsid w:val="0074519B"/>
    <w:rsid w:val="00795D4B"/>
    <w:rsid w:val="00811453"/>
    <w:rsid w:val="009518BB"/>
    <w:rsid w:val="009E5C54"/>
    <w:rsid w:val="00AF1902"/>
    <w:rsid w:val="00BF27DF"/>
    <w:rsid w:val="00C50D00"/>
    <w:rsid w:val="00C807E1"/>
    <w:rsid w:val="00D230C1"/>
    <w:rsid w:val="00D57050"/>
    <w:rsid w:val="00D77C49"/>
    <w:rsid w:val="00DB5ACA"/>
    <w:rsid w:val="00E64A6A"/>
    <w:rsid w:val="00F001C4"/>
    <w:rsid w:val="00F9559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A44D4"/>
  <w15:docId w15:val="{8BF4F60C-DFA2-4DB5-AD26-9788B045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635ED"/>
    <w:rPr>
      <w:rFonts w:ascii="Tahoma" w:hAnsi="Tahoma" w:cs="Tahoma"/>
      <w:sz w:val="16"/>
      <w:szCs w:val="16"/>
    </w:rPr>
  </w:style>
  <w:style w:type="character" w:customStyle="1" w:styleId="TextodegloboCar">
    <w:name w:val="Texto de globo Car"/>
    <w:basedOn w:val="Fuentedeprrafopredeter"/>
    <w:link w:val="Textodeglobo"/>
    <w:uiPriority w:val="99"/>
    <w:semiHidden/>
    <w:rsid w:val="006635ED"/>
    <w:rPr>
      <w:rFonts w:ascii="Tahoma" w:hAnsi="Tahoma" w:cs="Tahoma"/>
      <w:sz w:val="16"/>
      <w:szCs w:val="16"/>
    </w:rPr>
  </w:style>
  <w:style w:type="table" w:styleId="Tablaconcuadrcula">
    <w:name w:val="Table Grid"/>
    <w:basedOn w:val="Tablanormal"/>
    <w:uiPriority w:val="59"/>
    <w:rsid w:val="00D57050"/>
    <w:rPr>
      <w:rFonts w:ascii="Times New Roman" w:eastAsia="Times New Roman" w:hAnsi="Times New Roman" w:cs="Times New Roman"/>
      <w:szCs w:val="20"/>
      <w:lang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11453"/>
    <w:pPr>
      <w:ind w:left="720"/>
      <w:contextualSpacing/>
    </w:pPr>
  </w:style>
  <w:style w:type="character" w:styleId="Refdecomentario">
    <w:name w:val="annotation reference"/>
    <w:basedOn w:val="Fuentedeprrafopredeter"/>
    <w:uiPriority w:val="99"/>
    <w:semiHidden/>
    <w:unhideWhenUsed/>
    <w:rsid w:val="003872C2"/>
    <w:rPr>
      <w:sz w:val="16"/>
      <w:szCs w:val="16"/>
    </w:rPr>
  </w:style>
  <w:style w:type="paragraph" w:styleId="Textocomentario">
    <w:name w:val="annotation text"/>
    <w:basedOn w:val="Normal"/>
    <w:link w:val="TextocomentarioCar"/>
    <w:uiPriority w:val="99"/>
    <w:semiHidden/>
    <w:unhideWhenUsed/>
    <w:rsid w:val="003872C2"/>
    <w:rPr>
      <w:szCs w:val="20"/>
    </w:rPr>
  </w:style>
  <w:style w:type="character" w:customStyle="1" w:styleId="TextocomentarioCar">
    <w:name w:val="Texto comentario Car"/>
    <w:basedOn w:val="Fuentedeprrafopredeter"/>
    <w:link w:val="Textocomentario"/>
    <w:uiPriority w:val="99"/>
    <w:semiHidden/>
    <w:rsid w:val="003872C2"/>
    <w:rPr>
      <w:szCs w:val="20"/>
    </w:rPr>
  </w:style>
  <w:style w:type="paragraph" w:styleId="Asuntodelcomentario">
    <w:name w:val="annotation subject"/>
    <w:basedOn w:val="Textocomentario"/>
    <w:next w:val="Textocomentario"/>
    <w:link w:val="AsuntodelcomentarioCar"/>
    <w:uiPriority w:val="99"/>
    <w:semiHidden/>
    <w:unhideWhenUsed/>
    <w:rsid w:val="003872C2"/>
    <w:rPr>
      <w:b/>
      <w:bCs/>
    </w:rPr>
  </w:style>
  <w:style w:type="character" w:customStyle="1" w:styleId="AsuntodelcomentarioCar">
    <w:name w:val="Asunto del comentario Car"/>
    <w:basedOn w:val="TextocomentarioCar"/>
    <w:link w:val="Asuntodelcomentario"/>
    <w:uiPriority w:val="99"/>
    <w:semiHidden/>
    <w:rsid w:val="003872C2"/>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4DE23-B6AC-4B28-8C2B-44B5AB470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1015</Words>
  <Characters>5588</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2015-02-19T21:46:00Z</cp:lastPrinted>
  <dcterms:created xsi:type="dcterms:W3CDTF">2023-11-18T02:16:00Z</dcterms:created>
  <dcterms:modified xsi:type="dcterms:W3CDTF">2023-11-18T02:16:00Z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2023-11-18T02:16:42Z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cde8c61a-c453-4dbd-9c72-e5fd43d0f3fa</vt:lpwstr>
  </property>
  <property fmtid="{D5CDD505-2E9C-101B-9397-08002B2CF9AE}" pid="8" name="MSIP_Label_d35fc5bc-c9e2-44ae-bd42-5c3cbdd817bc_ContentBits">
    <vt:lpwstr>0</vt:lpwstr>
  </property>
</Properties>
</file>